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sz w:val="24"/>
          <w:szCs w:val="24"/>
        </w:rPr>
        <w:t xml:space="preserve">CITY OF EL PASO</w:t>
      </w:r>
    </w:p>
    <w:p>
      <w:pPr>
        <w:spacing w:after="40"/>
        <w:jc w:val="center"/>
      </w:pPr>
      <w:r>
        <w:rPr>
          <w:rFonts w:ascii="Arial" w:cs="Arial" w:eastAsia="Arial" w:hAnsi="Arial"/>
          <w:b/>
          <w:bCs/>
          <w:sz w:val="34"/>
          <w:szCs w:val="34"/>
        </w:rPr>
        <w:t xml:space="preserve">DATA CENTER ORDINANCE (DRAFT)</w:t>
      </w:r>
    </w:p>
    <w:p>
      <w:pPr>
        <w:spacing w:after="120"/>
        <w:jc w:val="center"/>
      </w:pPr>
      <w:r>
        <w:rPr>
          <w:rFonts w:ascii="Arial" w:cs="Arial" w:eastAsia="Arial" w:hAnsi="Arial"/>
          <w:i/>
          <w:iCs/>
          <w:sz w:val="20"/>
          <w:szCs w:val="20"/>
        </w:rPr>
        <w:t xml:space="preserve">An Ordinance amending Title 20 (Zoning) of the El Paso City Code to establish definitions, zoning controls, performance standards, monitoring and reporting requirements, enforcement and penalties, and decommissioning and financial assurance requirements for hyperscale data centers; providing for severability; and establishing an effective date.</w:t>
      </w:r>
    </w:p>
    <w:p>
      <w:pPr>
        <w:spacing w:after="200"/>
        <w:jc w:val="center"/>
      </w:pPr>
      <w:r>
        <w:rPr>
          <w:rFonts w:ascii="Arial" w:cs="Arial" w:eastAsia="Arial" w:hAnsi="Arial"/>
          <w:sz w:val="20"/>
          <w:szCs w:val="20"/>
        </w:rPr>
        <w:t xml:space="preserve">Drafted by Christopher Celaya, Celaya Solutions Research LLC. June 2026.</w:t>
      </w:r>
      <w:r>
        <w:rPr>
          <w:rFonts w:ascii="Arial" w:cs="Arial" w:eastAsia="Arial" w:hAnsi="Arial"/>
          <w:i/>
          <w:iCs/>
          <w:sz w:val="20"/>
          <w:szCs w:val="20"/>
        </w:rPr>
        <w:t xml:space="preserve">  Prepared for introduction before the City Plan Commission and City Council and for City Attorney review.</w:t>
      </w:r>
    </w:p>
    <w:p>
      <w:pPr>
        <w:spacing w:after="160"/>
        <w:jc w:val="center"/>
      </w:pPr>
      <w:r>
        <w:rPr>
          <w:rFonts w:ascii="Arial" w:cs="Arial" w:eastAsia="Arial" w:hAnsi="Arial"/>
          <w:i/>
          <w:iCs/>
          <w:color w:val="555555"/>
          <w:sz w:val="16"/>
          <w:szCs w:val="16"/>
        </w:rPr>
        <w:t xml:space="preserve">Technical provisions prepared with reference to the drafter's domain experience in electrical infrastructure (more than twelve years, including data center critical power systems and switchgear manufacturing).</w:t>
      </w:r>
    </w:p>
    <w:p>
      <w:pPr>
        <w:spacing w:after="60" w:before="80"/>
      </w:pPr>
      <w:r>
        <w:rPr>
          <w:rFonts w:ascii="Arial" w:cs="Arial" w:eastAsia="Arial" w:hAnsi="Arial"/>
          <w:b/>
          <w:bCs/>
          <w:i w:val="false"/>
          <w:iCs w:val="false"/>
          <w:sz w:val="22"/>
          <w:szCs w:val="22"/>
        </w:rPr>
        <w:t xml:space="preserve">FINDINGS</w:t>
      </w:r>
    </w:p>
    <w:p>
      <w:pPr>
        <w:spacing w:after="30" w:before="30"/>
      </w:pPr>
      <w:r>
        <w:rPr>
          <w:rFonts w:ascii="Arial" w:cs="Arial" w:eastAsia="Arial" w:hAnsi="Arial"/>
          <w:b w:val="false"/>
          <w:bCs w:val="false"/>
          <w:i w:val="false"/>
          <w:iCs w:val="false"/>
          <w:sz w:val="22"/>
          <w:szCs w:val="22"/>
        </w:rPr>
        <w:t xml:space="preserve">WHEREAS, the City of El Paso is a Texas home-rule municipality authorized to enact zoning regulations to protect the public health, safety, and general welfare under Chapter 211 of the Texas Local Government Code; and</w:t>
      </w:r>
    </w:p>
    <w:p>
      <w:pPr>
        <w:spacing w:after="30" w:before="30"/>
      </w:pPr>
      <w:r>
        <w:rPr>
          <w:rFonts w:ascii="Arial" w:cs="Arial" w:eastAsia="Arial" w:hAnsi="Arial"/>
          <w:b w:val="false"/>
          <w:bCs w:val="false"/>
          <w:i w:val="false"/>
          <w:iCs w:val="false"/>
          <w:sz w:val="22"/>
          <w:szCs w:val="22"/>
        </w:rPr>
        <w:t xml:space="preserve">WHEREAS, on February 17, 2026, the City Council directed staff to develop a data center policy framework addressing impacts on water, energy, infrastructure, and the community; and</w:t>
      </w:r>
    </w:p>
    <w:p>
      <w:pPr>
        <w:spacing w:after="30" w:before="30"/>
      </w:pPr>
      <w:r>
        <w:rPr>
          <w:rFonts w:ascii="Arial" w:cs="Arial" w:eastAsia="Arial" w:hAnsi="Arial"/>
          <w:b w:val="false"/>
          <w:bCs w:val="false"/>
          <w:i w:val="false"/>
          <w:iCs w:val="false"/>
          <w:sz w:val="22"/>
          <w:szCs w:val="22"/>
        </w:rPr>
        <w:t xml:space="preserve">WHEREAS, the City lies in the Chihuahuan Desert and draws approximately 40 percent of its water from the Hueco Bolson and approximately 17 percent from the Mesilla Bolson, and withdraws groundwater from the Hueco Bolson at a rate of 60,000 to 70,000 acre-feet per year against natural recharge of approximately 5,000 acre-feet per year; and</w:t>
      </w:r>
    </w:p>
    <w:p>
      <w:pPr>
        <w:spacing w:after="30" w:before="30"/>
      </w:pPr>
      <w:r>
        <w:rPr>
          <w:rFonts w:ascii="Arial" w:cs="Arial" w:eastAsia="Arial" w:hAnsi="Arial"/>
          <w:b w:val="false"/>
          <w:bCs w:val="false"/>
          <w:i w:val="false"/>
          <w:iCs w:val="false"/>
          <w:sz w:val="22"/>
          <w:szCs w:val="22"/>
        </w:rPr>
        <w:t xml:space="preserve">WHEREAS, hyperscale data centers consume large volumes of water for cooling and impose substantial and concentrated electrical demand, and the unregulated siting of such facilities threatens the City's finite water resources and the reliability and affordability of its utility systems; and</w:t>
      </w:r>
    </w:p>
    <w:p>
      <w:pPr>
        <w:spacing w:after="30" w:before="30"/>
      </w:pPr>
      <w:r>
        <w:rPr>
          <w:rFonts w:ascii="Arial" w:cs="Arial" w:eastAsia="Arial" w:hAnsi="Arial"/>
          <w:b w:val="false"/>
          <w:bCs w:val="false"/>
          <w:i w:val="false"/>
          <w:iCs w:val="false"/>
          <w:sz w:val="22"/>
          <w:szCs w:val="22"/>
        </w:rPr>
        <w:t xml:space="preserve">WHEREAS, the City is served by El Paso Electric within the Western Interconnection and is not located within the Electric Reliability Council of Texas, and therefore the large-load interconnection protections established by Senate Bill 6 of the 89th Texas Legislature (2025) and Public Utility Commission of Texas rule at Title 16 Texas Administrative Code Section 25.194 do not by their terms govern facilities sited in El Paso, leaving a regulatory gap that this Ordinance addresses through the City's zoning authority; and</w:t>
      </w:r>
    </w:p>
    <w:p>
      <w:pPr>
        <w:spacing w:after="30" w:before="30"/>
      </w:pPr>
      <w:r>
        <w:rPr>
          <w:rFonts w:ascii="Arial" w:cs="Arial" w:eastAsia="Arial" w:hAnsi="Arial"/>
          <w:b w:val="false"/>
          <w:bCs w:val="false"/>
          <w:i w:val="false"/>
          <w:iCs w:val="false"/>
          <w:sz w:val="22"/>
          <w:szCs w:val="22"/>
        </w:rPr>
        <w:t xml:space="preserve">WHEREAS, El Paso Water provides on the order of 105 million gallons per day, and the documented regional supply surplus is on the order of 8.71 million gallons per day, such that combined data-center potable demand of up to approximately 1.56 million gallons per day would consume approximately 17.9 percent of that surplus, and no public document identifies which water-supply figure was relied upon to find regional supply adequate for data-center approvals; and</w:t>
      </w:r>
    </w:p>
    <w:p>
      <w:pPr>
        <w:spacing w:after="30" w:before="30"/>
      </w:pPr>
      <w:r>
        <w:rPr>
          <w:rFonts w:ascii="Arial" w:cs="Arial" w:eastAsia="Arial" w:hAnsi="Arial"/>
          <w:b w:val="false"/>
          <w:bCs w:val="false"/>
          <w:i w:val="false"/>
          <w:iCs w:val="false"/>
          <w:sz w:val="22"/>
          <w:szCs w:val="22"/>
        </w:rPr>
        <w:t xml:space="preserve">WHEREAS, multiple hyperscale data centers are being developed in the region at the same time and without coordination, including a facility in Northeast El Paso authorized to use up to 1,500,000 gallons of potable water per day at full build-out, a facility in Socorro, and a project in adjacent Dona Ana County, New Mexico, the record of which (Third Judicial District Court Case No. D-307-CV-2025-02766) documents water-service commitments unsupported by technical data, no analysis of cumulative regional water demand, and a self-supplied natural-gas microgrid authorized for up to 2,880 megawatts and emitting hundreds of tons of nitrogen oxides and millions of tons of greenhouse gases per year; and</w:t>
      </w:r>
    </w:p>
    <w:p>
      <w:pPr>
        <w:spacing w:after="30" w:before="30"/>
      </w:pPr>
      <w:r>
        <w:rPr>
          <w:rFonts w:ascii="Arial" w:cs="Arial" w:eastAsia="Arial" w:hAnsi="Arial"/>
          <w:b w:val="false"/>
          <w:bCs w:val="false"/>
          <w:i w:val="false"/>
          <w:iCs w:val="false"/>
          <w:sz w:val="22"/>
          <w:szCs w:val="22"/>
        </w:rPr>
        <w:t xml:space="preserve">WHEREAS, El Paso Electric reports a record peak demand of 2,173 megawatts against generation capacity of approximately 2,300 megawatts, projects large-load-driven capacity needs of up to 1,650 megawatts, and has proposed billions of dollars in system upgrades and residential rate increases, such that the cost of serving hyperscale data centers risks being shifted to other ratepayers absent cost-causation requirements; and</w:t>
      </w:r>
    </w:p>
    <w:p>
      <w:pPr>
        <w:spacing w:after="30" w:before="30"/>
      </w:pPr>
      <w:r>
        <w:rPr>
          <w:rFonts w:ascii="Arial" w:cs="Arial" w:eastAsia="Arial" w:hAnsi="Arial"/>
          <w:b w:val="false"/>
          <w:bCs w:val="false"/>
          <w:i w:val="false"/>
          <w:iCs w:val="false"/>
          <w:sz w:val="22"/>
          <w:szCs w:val="22"/>
        </w:rPr>
        <w:t xml:space="preserve">WHEREAS, no existing mechanism requires hyperscale data centers drawing on the shared regional water basin and airshed to disclose or mitigate their cumulative impact, or to bear the cost of the utility system upgrades they cause; and</w:t>
      </w:r>
    </w:p>
    <w:p>
      <w:pPr>
        <w:spacing w:after="30" w:before="30"/>
      </w:pPr>
      <w:r>
        <w:rPr>
          <w:rFonts w:ascii="Arial" w:cs="Arial" w:eastAsia="Arial" w:hAnsi="Arial"/>
          <w:b w:val="false"/>
          <w:bCs w:val="false"/>
          <w:i w:val="false"/>
          <w:iCs w:val="false"/>
          <w:sz w:val="22"/>
          <w:szCs w:val="22"/>
        </w:rPr>
        <w:t xml:space="preserve">WHEREAS, this Ordinance applies generally to all hyperscale data centers that meet the thresholds in Article 2, is not directed at any single applicant or project, and rests on the factual findings stated in this section and in the record before the City Council, a summary of which appears in the Evidence Appendix to this Ordinance; and</w:t>
      </w:r>
    </w:p>
    <w:p>
      <w:pPr>
        <w:spacing w:after="30" w:before="30"/>
      </w:pPr>
      <w:r>
        <w:rPr>
          <w:rFonts w:ascii="Arial" w:cs="Arial" w:eastAsia="Arial" w:hAnsi="Arial"/>
          <w:b w:val="false"/>
          <w:bCs w:val="false"/>
          <w:i w:val="false"/>
          <w:iCs w:val="false"/>
          <w:sz w:val="22"/>
          <w:szCs w:val="22"/>
        </w:rPr>
        <w:t xml:space="preserve">WHEREAS, the City Council finds that the standards in this Ordinance are reasonable, rest on recognized federal, state, and industry standards, and are necessary to protect the public health, safety, and general welfare;</w:t>
      </w:r>
    </w:p>
    <w:p>
      <w:pPr>
        <w:spacing w:after="80" w:before="80"/>
      </w:pPr>
      <w:r>
        <w:rPr>
          <w:rFonts w:ascii="Arial" w:cs="Arial" w:eastAsia="Arial" w:hAnsi="Arial"/>
          <w:b/>
          <w:bCs/>
          <w:i w:val="false"/>
          <w:iCs w:val="false"/>
          <w:sz w:val="22"/>
          <w:szCs w:val="22"/>
        </w:rPr>
        <w:t xml:space="preserve">NOW, THEREFORE, BE IT ORDAINED BY THE CITY COUNCIL OF THE CITY OF EL PASO, TEXAS:</w:t>
      </w:r>
    </w:p>
    <w:p>
      <w:pPr>
        <w:pStyle w:val="Heading1"/>
        <w:spacing w:after="120" w:before="240"/>
      </w:pPr>
      <w:r>
        <w:rPr>
          <w:rFonts w:ascii="Arial" w:cs="Arial" w:eastAsia="Arial" w:hAnsi="Arial"/>
          <w:b/>
          <w:bCs/>
          <w:sz w:val="26"/>
          <w:szCs w:val="26"/>
        </w:rPr>
        <w:t xml:space="preserve">ARTICLE 1. PURPOSE AND INTENT</w:t>
      </w:r>
    </w:p>
    <w:p>
      <w:pPr>
        <w:spacing w:after="40" w:before="100"/>
      </w:pPr>
      <w:r>
        <w:rPr>
          <w:rFonts w:ascii="Arial" w:cs="Arial" w:eastAsia="Arial" w:hAnsi="Arial"/>
          <w:b/>
          <w:bCs/>
          <w:sz w:val="22"/>
          <w:szCs w:val="22"/>
        </w:rPr>
        <w:t xml:space="preserve">Sec. 1.01 Purpose. </w:t>
      </w:r>
      <w:r>
        <w:rPr>
          <w:rFonts w:ascii="Arial" w:cs="Arial" w:eastAsia="Arial" w:hAnsi="Arial"/>
          <w:sz w:val="22"/>
          <w:szCs w:val="22"/>
        </w:rPr>
        <w:t xml:space="preserve">This Ordinance establishes uniform, generally applicable requirements for the siting, construction, operation, monitoring, and decommissioning of hyperscale data centers within the City of El Paso. Its purpose is to protect the City's limited water supply, to safeguard the reliability and affordability of the City's electric and water utilities, to protect residents from noise, air emissions, and fire and spill hazards, and to ensure that the costs and risks of these facilities are borne by their operators rather than by the public.</w:t>
      </w:r>
    </w:p>
    <w:p>
      <w:pPr>
        <w:spacing w:after="40" w:before="100"/>
      </w:pPr>
      <w:r>
        <w:rPr>
          <w:rFonts w:ascii="Arial" w:cs="Arial" w:eastAsia="Arial" w:hAnsi="Arial"/>
          <w:b/>
          <w:bCs/>
          <w:sz w:val="22"/>
          <w:szCs w:val="22"/>
        </w:rPr>
        <w:t xml:space="preserve">Sec. 1.02 Intent. </w:t>
      </w:r>
      <w:r>
        <w:rPr>
          <w:rFonts w:ascii="Arial" w:cs="Arial" w:eastAsia="Arial" w:hAnsi="Arial"/>
          <w:sz w:val="22"/>
          <w:szCs w:val="22"/>
        </w:rPr>
        <w:t xml:space="preserve">The City intends that every requirement in this Ordinance be applied as an enforceable condition of development and operation, that compliance be verified through metering, reporting, and independent audit, and that violations carry defined monetary penalties and the loss of the special permit. The City does not prohibit data centers; it requires that any hyperscale data center operating in El Paso do so on terms that protect the community and its resources.</w:t>
      </w:r>
    </w:p>
    <w:p>
      <w:pPr>
        <w:spacing w:after="40" w:before="100"/>
      </w:pPr>
      <w:r>
        <w:rPr>
          <w:rFonts w:ascii="Arial" w:cs="Arial" w:eastAsia="Arial" w:hAnsi="Arial"/>
          <w:b/>
          <w:bCs/>
          <w:sz w:val="22"/>
          <w:szCs w:val="22"/>
        </w:rPr>
        <w:t xml:space="preserve">Sec. 1.03 Relationship to other law. </w:t>
      </w:r>
      <w:r>
        <w:rPr>
          <w:rFonts w:ascii="Arial" w:cs="Arial" w:eastAsia="Arial" w:hAnsi="Arial"/>
          <w:sz w:val="22"/>
          <w:szCs w:val="22"/>
        </w:rPr>
        <w:t xml:space="preserve">This Ordinance supplements applicable federal law, state law, and the El Paso City Code. Where this Ordinance imposes a requirement more stringent than another applicable provision, the more stringent requirement shall govern to the extent permitted by law.</w:t>
      </w:r>
    </w:p>
    <w:p>
      <w:pPr>
        <w:pStyle w:val="Heading1"/>
        <w:spacing w:after="120" w:before="240"/>
      </w:pPr>
      <w:r>
        <w:rPr>
          <w:rFonts w:ascii="Arial" w:cs="Arial" w:eastAsia="Arial" w:hAnsi="Arial"/>
          <w:b/>
          <w:bCs/>
          <w:sz w:val="26"/>
          <w:szCs w:val="26"/>
        </w:rPr>
        <w:t xml:space="preserve">ARTICLE 2. DEFINITIONS</w:t>
      </w:r>
    </w:p>
    <w:p>
      <w:pPr>
        <w:spacing w:after="40" w:before="100"/>
      </w:pPr>
      <w:r>
        <w:rPr>
          <w:rFonts w:ascii="Arial" w:cs="Arial" w:eastAsia="Arial" w:hAnsi="Arial"/>
          <w:b/>
          <w:bCs/>
          <w:sz w:val="22"/>
          <w:szCs w:val="22"/>
        </w:rPr>
        <w:t xml:space="preserve">Sec. 2.01 Application. </w:t>
      </w:r>
      <w:r>
        <w:rPr>
          <w:rFonts w:ascii="Arial" w:cs="Arial" w:eastAsia="Arial" w:hAnsi="Arial"/>
          <w:sz w:val="22"/>
          <w:szCs w:val="22"/>
        </w:rPr>
        <w:t xml:space="preserve">The following definitions shall apply throughout this Ordinance. A term not defined here shall have the meaning given in Title 20 of the El Paso City Code or, if not defined there, its ordinary technical meaning.</w:t>
      </w:r>
    </w:p>
    <w:p>
      <w:pPr>
        <w:spacing w:after="40" w:before="100"/>
      </w:pPr>
      <w:r>
        <w:rPr>
          <w:rFonts w:ascii="Arial" w:cs="Arial" w:eastAsia="Arial" w:hAnsi="Arial"/>
          <w:b/>
          <w:bCs/>
          <w:sz w:val="22"/>
          <w:szCs w:val="22"/>
        </w:rPr>
        <w:t xml:space="preserve">Sec. 2.02 Hyperscale data center. </w:t>
      </w:r>
      <w:r>
        <w:rPr>
          <w:rFonts w:ascii="Arial" w:cs="Arial" w:eastAsia="Arial" w:hAnsi="Arial"/>
          <w:sz w:val="22"/>
          <w:szCs w:val="22"/>
        </w:rPr>
        <w:t xml:space="preserve">"Hyperscale data center" means a data processing center that meets or exceeds either of the following nameplate thresholds:</w:t>
      </w:r>
    </w:p>
    <w:p>
      <w:pPr>
        <w:spacing w:after="20" w:before="20"/>
        <w:ind w:left="360" w:hanging="360"/>
      </w:pPr>
      <w:r>
        <w:rPr>
          <w:rFonts w:ascii="Arial" w:cs="Arial" w:eastAsia="Arial" w:hAnsi="Arial"/>
          <w:sz w:val="22"/>
          <w:szCs w:val="22"/>
        </w:rPr>
        <w:t xml:space="preserve">(a) </w:t>
      </w:r>
      <w:r>
        <w:rPr>
          <w:rFonts w:ascii="Arial" w:cs="Arial" w:eastAsia="Arial" w:hAnsi="Arial"/>
          <w:sz w:val="22"/>
          <w:szCs w:val="22"/>
        </w:rPr>
        <w:t xml:space="preserve">an information technology (IT) electrical load of 40 megawatts (MW) or greater; or</w:t>
      </w:r>
    </w:p>
    <w:p>
      <w:pPr>
        <w:spacing w:after="20" w:before="20"/>
        <w:ind w:left="360" w:hanging="360"/>
      </w:pPr>
      <w:r>
        <w:rPr>
          <w:rFonts w:ascii="Arial" w:cs="Arial" w:eastAsia="Arial" w:hAnsi="Arial"/>
          <w:sz w:val="22"/>
          <w:szCs w:val="22"/>
        </w:rPr>
        <w:t xml:space="preserve">(b) </w:t>
      </w:r>
      <w:r>
        <w:rPr>
          <w:rFonts w:ascii="Arial" w:cs="Arial" w:eastAsia="Arial" w:hAnsi="Arial"/>
          <w:sz w:val="22"/>
          <w:szCs w:val="22"/>
        </w:rPr>
        <w:t xml:space="preserve">a total electrical service capacity of 100 MW or greater.</w:t>
      </w:r>
    </w:p>
    <w:p>
      <w:pPr>
        <w:spacing w:after="40" w:before="20"/>
      </w:pPr>
      <w:r>
        <w:rPr>
          <w:rFonts w:ascii="Arial" w:cs="Arial" w:eastAsia="Arial" w:hAnsi="Arial"/>
          <w:b w:val="false"/>
          <w:bCs w:val="false"/>
          <w:i w:val="false"/>
          <w:iCs w:val="false"/>
          <w:sz w:val="22"/>
          <w:szCs w:val="22"/>
        </w:rPr>
        <w:t xml:space="preserve">A facility shall be classified as a hyperscale data center upon exceeding either threshold, whichever is exceeded first. Power usage effectiveness (PUE) and water usage effectiveness (WUE) shall not be used to determine whether a facility is a hyperscale data center and shall be reported only as operating metrics under Article 5.</w:t>
      </w:r>
    </w:p>
    <w:p>
      <w:pPr>
        <w:spacing w:after="40" w:before="100"/>
      </w:pPr>
      <w:r>
        <w:rPr>
          <w:rFonts w:ascii="Arial" w:cs="Arial" w:eastAsia="Arial" w:hAnsi="Arial"/>
          <w:b/>
          <w:bCs/>
          <w:sz w:val="22"/>
          <w:szCs w:val="22"/>
        </w:rPr>
        <w:t xml:space="preserve">Sec. 2.03 Data center, non-hyperscale. </w:t>
      </w:r>
      <w:r>
        <w:rPr>
          <w:rFonts w:ascii="Arial" w:cs="Arial" w:eastAsia="Arial" w:hAnsi="Arial"/>
          <w:sz w:val="22"/>
          <w:szCs w:val="22"/>
        </w:rPr>
        <w:t xml:space="preserve">"Data center, non-hyperscale" means a data processing center that does not meet either threshold in Section 2.02. Such a facility shall remain subject to the otherwise applicable provisions of Title 20.</w:t>
      </w:r>
    </w:p>
    <w:p>
      <w:pPr>
        <w:spacing w:after="40" w:before="100"/>
      </w:pPr>
      <w:r>
        <w:rPr>
          <w:rFonts w:ascii="Arial" w:cs="Arial" w:eastAsia="Arial" w:hAnsi="Arial"/>
          <w:b/>
          <w:bCs/>
          <w:sz w:val="22"/>
          <w:szCs w:val="22"/>
        </w:rPr>
        <w:t xml:space="preserve">Sec. 2.04 Other terms. </w:t>
      </w:r>
      <w:r>
        <w:rPr>
          <w:rFonts w:ascii="Arial" w:cs="Arial" w:eastAsia="Arial" w:hAnsi="Arial"/>
          <w:sz w:val="22"/>
          <w:szCs w:val="22"/>
        </w:rPr>
        <w:t xml:space="preserve">The following terms shall have the stated meanings:</w:t>
      </w:r>
    </w:p>
    <w:p>
      <w:pPr>
        <w:spacing w:after="20" w:before="20"/>
        <w:ind w:left="360" w:hanging="360"/>
      </w:pPr>
      <w:r>
        <w:rPr>
          <w:rFonts w:ascii="Arial" w:cs="Arial" w:eastAsia="Arial" w:hAnsi="Arial"/>
          <w:sz w:val="22"/>
          <w:szCs w:val="22"/>
        </w:rPr>
        <w:t xml:space="preserve">(a) </w:t>
      </w:r>
      <w:r>
        <w:rPr>
          <w:rFonts w:ascii="Arial" w:cs="Arial" w:eastAsia="Arial" w:hAnsi="Arial"/>
          <w:sz w:val="22"/>
          <w:szCs w:val="22"/>
        </w:rPr>
        <w:t xml:space="preserve">"Applicant" means a person seeking a special permit for, or operating, a hyperscale data center under this Ordinance.</w:t>
      </w:r>
    </w:p>
    <w:p>
      <w:pPr>
        <w:spacing w:after="20" w:before="20"/>
        <w:ind w:left="360" w:hanging="360"/>
      </w:pPr>
      <w:r>
        <w:rPr>
          <w:rFonts w:ascii="Arial" w:cs="Arial" w:eastAsia="Arial" w:hAnsi="Arial"/>
          <w:sz w:val="22"/>
          <w:szCs w:val="22"/>
        </w:rPr>
        <w:t xml:space="preserve">(b) </w:t>
      </w:r>
      <w:r>
        <w:rPr>
          <w:rFonts w:ascii="Arial" w:cs="Arial" w:eastAsia="Arial" w:hAnsi="Arial"/>
          <w:sz w:val="22"/>
          <w:szCs w:val="22"/>
        </w:rPr>
        <w:t xml:space="preserve">"Point of common coupling (PCC)" has the meaning given in IEEE 519-2022.</w:t>
      </w:r>
    </w:p>
    <w:p>
      <w:pPr>
        <w:spacing w:after="20" w:before="20"/>
        <w:ind w:left="360" w:hanging="360"/>
      </w:pPr>
      <w:r>
        <w:rPr>
          <w:rFonts w:ascii="Arial" w:cs="Arial" w:eastAsia="Arial" w:hAnsi="Arial"/>
          <w:sz w:val="22"/>
          <w:szCs w:val="22"/>
        </w:rPr>
        <w:t xml:space="preserve">(c) </w:t>
      </w:r>
      <w:r>
        <w:rPr>
          <w:rFonts w:ascii="Arial" w:cs="Arial" w:eastAsia="Arial" w:hAnsi="Arial"/>
          <w:sz w:val="22"/>
          <w:szCs w:val="22"/>
        </w:rPr>
        <w:t xml:space="preserve">"Total demand distortion (TDD)" has the meaning given in IEEE 519-2022.</w:t>
      </w:r>
    </w:p>
    <w:p>
      <w:pPr>
        <w:spacing w:after="20" w:before="20"/>
        <w:ind w:left="360" w:hanging="360"/>
      </w:pPr>
      <w:r>
        <w:rPr>
          <w:rFonts w:ascii="Arial" w:cs="Arial" w:eastAsia="Arial" w:hAnsi="Arial"/>
          <w:sz w:val="22"/>
          <w:szCs w:val="22"/>
        </w:rPr>
        <w:t xml:space="preserve">(d) </w:t>
      </w:r>
      <w:r>
        <w:rPr>
          <w:rFonts w:ascii="Arial" w:cs="Arial" w:eastAsia="Arial" w:hAnsi="Arial"/>
          <w:sz w:val="22"/>
          <w:szCs w:val="22"/>
        </w:rPr>
        <w:t xml:space="preserve">"Displacement power factor" means the ratio of the active power of the fundamental frequency to the apparent power of the fundamental frequency.</w:t>
      </w:r>
    </w:p>
    <w:p>
      <w:pPr>
        <w:spacing w:after="20" w:before="20"/>
        <w:ind w:left="360" w:hanging="360"/>
      </w:pPr>
      <w:r>
        <w:rPr>
          <w:rFonts w:ascii="Arial" w:cs="Arial" w:eastAsia="Arial" w:hAnsi="Arial"/>
          <w:sz w:val="22"/>
          <w:szCs w:val="22"/>
        </w:rPr>
        <w:t xml:space="preserve">(e) </w:t>
      </w:r>
      <w:r>
        <w:rPr>
          <w:rFonts w:ascii="Arial" w:cs="Arial" w:eastAsia="Arial" w:hAnsi="Arial"/>
          <w:sz w:val="22"/>
          <w:szCs w:val="22"/>
        </w:rPr>
        <w:t xml:space="preserve">"Power usage effectiveness (PUE)" means total annual facility energy divided by total annual IT equipment energy.</w:t>
      </w:r>
    </w:p>
    <w:p>
      <w:pPr>
        <w:spacing w:after="20" w:before="20"/>
        <w:ind w:left="360" w:hanging="360"/>
      </w:pPr>
      <w:r>
        <w:rPr>
          <w:rFonts w:ascii="Arial" w:cs="Arial" w:eastAsia="Arial" w:hAnsi="Arial"/>
          <w:sz w:val="22"/>
          <w:szCs w:val="22"/>
        </w:rPr>
        <w:t xml:space="preserve">(f) </w:t>
      </w:r>
      <w:r>
        <w:rPr>
          <w:rFonts w:ascii="Arial" w:cs="Arial" w:eastAsia="Arial" w:hAnsi="Arial"/>
          <w:sz w:val="22"/>
          <w:szCs w:val="22"/>
        </w:rPr>
        <w:t xml:space="preserve">"Water usage effectiveness (WUE)" means total annual facility water use, in liters, divided by total annual IT equipment energy, in kilowatt-hours.</w:t>
      </w:r>
    </w:p>
    <w:p>
      <w:pPr>
        <w:spacing w:after="20" w:before="20"/>
        <w:ind w:left="360" w:hanging="360"/>
      </w:pPr>
      <w:r>
        <w:rPr>
          <w:rFonts w:ascii="Arial" w:cs="Arial" w:eastAsia="Arial" w:hAnsi="Arial"/>
          <w:sz w:val="22"/>
          <w:szCs w:val="22"/>
        </w:rPr>
        <w:t xml:space="preserve">(g) </w:t>
      </w:r>
      <w:r>
        <w:rPr>
          <w:rFonts w:ascii="Arial" w:cs="Arial" w:eastAsia="Arial" w:hAnsi="Arial"/>
          <w:sz w:val="22"/>
          <w:szCs w:val="22"/>
        </w:rPr>
        <w:t xml:space="preserve">"Environmentally sensitive area" means a mapped floodplain, an arroyo or stormwater conveyance, designated open space, land within the City's hillside, ridgeline, scenic, or open-space overlay districts, and habitat of a state-listed or federally listed species.</w:t>
      </w:r>
    </w:p>
    <w:p>
      <w:pPr>
        <w:spacing w:after="20" w:before="20"/>
        <w:ind w:left="360" w:hanging="360"/>
      </w:pPr>
      <w:r>
        <w:rPr>
          <w:rFonts w:ascii="Arial" w:cs="Arial" w:eastAsia="Arial" w:hAnsi="Arial"/>
          <w:sz w:val="22"/>
          <w:szCs w:val="22"/>
        </w:rPr>
        <w:t xml:space="preserve">(h) </w:t>
      </w:r>
      <w:r>
        <w:rPr>
          <w:rFonts w:ascii="Arial" w:cs="Arial" w:eastAsia="Arial" w:hAnsi="Arial"/>
          <w:sz w:val="22"/>
          <w:szCs w:val="22"/>
        </w:rPr>
        <w:t xml:space="preserve">"Serving utility" means El Paso Electric and El Paso Water, or their successor providers.</w:t>
      </w:r>
    </w:p>
    <w:p>
      <w:pPr>
        <w:spacing w:after="20" w:before="20"/>
        <w:ind w:left="360" w:hanging="360"/>
      </w:pPr>
      <w:r>
        <w:rPr>
          <w:rFonts w:ascii="Arial" w:cs="Arial" w:eastAsia="Arial" w:hAnsi="Arial"/>
          <w:sz w:val="22"/>
          <w:szCs w:val="22"/>
        </w:rPr>
        <w:t xml:space="preserve">(i) </w:t>
      </w:r>
      <w:r>
        <w:rPr>
          <w:rFonts w:ascii="Arial" w:cs="Arial" w:eastAsia="Arial" w:hAnsi="Arial"/>
          <w:sz w:val="22"/>
          <w:szCs w:val="22"/>
        </w:rPr>
        <w:t xml:space="preserve">"Firm load shed" means a utility-directed involuntary reduction of load during a declared grid emergency.</w:t>
      </w:r>
    </w:p>
    <w:p>
      <w:pPr>
        <w:spacing w:after="20" w:before="20"/>
        <w:ind w:left="360" w:hanging="360"/>
      </w:pPr>
      <w:r>
        <w:rPr>
          <w:rFonts w:ascii="Arial" w:cs="Arial" w:eastAsia="Arial" w:hAnsi="Arial"/>
          <w:sz w:val="22"/>
          <w:szCs w:val="22"/>
        </w:rPr>
        <w:t xml:space="preserve">(j) </w:t>
      </w:r>
      <w:r>
        <w:rPr>
          <w:rFonts w:ascii="Arial" w:cs="Arial" w:eastAsia="Arial" w:hAnsi="Arial"/>
          <w:sz w:val="22"/>
          <w:szCs w:val="22"/>
        </w:rPr>
        <w:t xml:space="preserve">"Director" means the Director of Planning and Inspections or a designee.</w:t>
      </w:r>
    </w:p>
    <w:p>
      <w:pPr>
        <w:pStyle w:val="Heading1"/>
        <w:spacing w:after="120" w:before="240"/>
      </w:pPr>
      <w:r>
        <w:rPr>
          <w:rFonts w:ascii="Arial" w:cs="Arial" w:eastAsia="Arial" w:hAnsi="Arial"/>
          <w:b/>
          <w:bCs/>
          <w:sz w:val="26"/>
          <w:szCs w:val="26"/>
        </w:rPr>
        <w:t xml:space="preserve">ARTICLE 3. APPLICABILITY AND ZONING</w:t>
      </w:r>
    </w:p>
    <w:p>
      <w:pPr>
        <w:spacing w:after="40" w:before="100"/>
      </w:pPr>
      <w:r>
        <w:rPr>
          <w:rFonts w:ascii="Arial" w:cs="Arial" w:eastAsia="Arial" w:hAnsi="Arial"/>
          <w:b/>
          <w:bCs/>
          <w:sz w:val="22"/>
          <w:szCs w:val="22"/>
        </w:rPr>
        <w:t xml:space="preserve">Sec. 3.01 Applicability. </w:t>
      </w:r>
    </w:p>
    <w:p>
      <w:pPr>
        <w:spacing w:after="20" w:before="20"/>
        <w:ind w:left="360" w:hanging="360"/>
      </w:pPr>
      <w:r>
        <w:rPr>
          <w:rFonts w:ascii="Arial" w:cs="Arial" w:eastAsia="Arial" w:hAnsi="Arial"/>
          <w:sz w:val="22"/>
          <w:szCs w:val="22"/>
        </w:rPr>
        <w:t xml:space="preserve">(a) </w:t>
      </w:r>
      <w:r>
        <w:rPr>
          <w:rFonts w:ascii="Arial" w:cs="Arial" w:eastAsia="Arial" w:hAnsi="Arial"/>
          <w:sz w:val="22"/>
          <w:szCs w:val="22"/>
        </w:rPr>
        <w:t xml:space="preserve">This Ordinance shall apply to every application for a hyperscale data center filed on or after the effective date in Section 8.03. An application that does not conform to this Ordinance shall not be approved.</w:t>
      </w:r>
    </w:p>
    <w:p>
      <w:pPr>
        <w:spacing w:after="20" w:before="20"/>
        <w:ind w:left="360" w:hanging="360"/>
      </w:pPr>
      <w:r>
        <w:rPr>
          <w:rFonts w:ascii="Arial" w:cs="Arial" w:eastAsia="Arial" w:hAnsi="Arial"/>
          <w:sz w:val="22"/>
          <w:szCs w:val="22"/>
        </w:rPr>
        <w:t xml:space="preserve">(b) </w:t>
      </w:r>
      <w:r>
        <w:rPr>
          <w:rFonts w:ascii="Arial" w:cs="Arial" w:eastAsia="Arial" w:hAnsi="Arial"/>
          <w:sz w:val="22"/>
          <w:szCs w:val="22"/>
        </w:rPr>
        <w:t xml:space="preserve">Consistent with Chapter 245 of the Texas Local Government Code, an application for which rights vested before the effective date shall be reviewed under the ordinances in effect when the original application giving fair notice of the project was filed, except that any requirement of this Ordinance protecting public health and safety, including fire, explosion, and spill hazards, shall apply to the extent authorized by Section 245.004 of the Texas Local Government Code.</w:t>
      </w:r>
    </w:p>
    <w:p>
      <w:pPr>
        <w:spacing w:after="40" w:before="100"/>
      </w:pPr>
      <w:r>
        <w:rPr>
          <w:rFonts w:ascii="Arial" w:cs="Arial" w:eastAsia="Arial" w:hAnsi="Arial"/>
          <w:b/>
          <w:bCs/>
          <w:sz w:val="22"/>
          <w:szCs w:val="22"/>
        </w:rPr>
        <w:t xml:space="preserve">Sec. 3.02 Special permit required. </w:t>
      </w:r>
    </w:p>
    <w:p>
      <w:pPr>
        <w:spacing w:after="20" w:before="20"/>
        <w:ind w:left="360" w:hanging="360"/>
      </w:pPr>
      <w:r>
        <w:rPr>
          <w:rFonts w:ascii="Arial" w:cs="Arial" w:eastAsia="Arial" w:hAnsi="Arial"/>
          <w:sz w:val="22"/>
          <w:szCs w:val="22"/>
        </w:rPr>
        <w:t xml:space="preserve">(a) </w:t>
      </w:r>
      <w:r>
        <w:rPr>
          <w:rFonts w:ascii="Arial" w:cs="Arial" w:eastAsia="Arial" w:hAnsi="Arial"/>
          <w:sz w:val="22"/>
          <w:szCs w:val="22"/>
        </w:rPr>
        <w:t xml:space="preserve">A hyperscale data center shall be allowed only by special permit in the C-4 (Commercial), M-1 (Manufacturing), and M-2 (Manufacturing) zoning districts, and shall not be allowed by right in any district.</w:t>
      </w:r>
    </w:p>
    <w:p>
      <w:pPr>
        <w:spacing w:after="20" w:before="20"/>
        <w:ind w:left="360" w:hanging="360"/>
      </w:pPr>
      <w:r>
        <w:rPr>
          <w:rFonts w:ascii="Arial" w:cs="Arial" w:eastAsia="Arial" w:hAnsi="Arial"/>
          <w:sz w:val="22"/>
          <w:szCs w:val="22"/>
        </w:rPr>
        <w:t xml:space="preserve">(b) </w:t>
      </w:r>
      <w:r>
        <w:rPr>
          <w:rFonts w:ascii="Arial" w:cs="Arial" w:eastAsia="Arial" w:hAnsi="Arial"/>
          <w:sz w:val="22"/>
          <w:szCs w:val="22"/>
        </w:rPr>
        <w:t xml:space="preserve">A hyperscale data center shall be prohibited in every other district, and an application proposing such a use in any other district shall be denied.</w:t>
      </w:r>
    </w:p>
    <w:p>
      <w:pPr>
        <w:spacing w:after="20" w:before="20"/>
        <w:ind w:left="360" w:hanging="360"/>
      </w:pPr>
      <w:r>
        <w:rPr>
          <w:rFonts w:ascii="Arial" w:cs="Arial" w:eastAsia="Arial" w:hAnsi="Arial"/>
          <w:sz w:val="22"/>
          <w:szCs w:val="22"/>
        </w:rPr>
        <w:t xml:space="preserve">(c) </w:t>
      </w:r>
      <w:r>
        <w:rPr>
          <w:rFonts w:ascii="Arial" w:cs="Arial" w:eastAsia="Arial" w:hAnsi="Arial"/>
          <w:sz w:val="22"/>
          <w:szCs w:val="22"/>
        </w:rPr>
        <w:t xml:space="preserve">A hyperscale data center established, constructed, or expanded without an approved special permit shall be subject to enforcement under Article 6, including a penalty of $2,000 per day under Section 6.02.</w:t>
      </w:r>
    </w:p>
    <w:p>
      <w:pPr>
        <w:spacing w:after="40" w:before="100"/>
      </w:pPr>
      <w:r>
        <w:rPr>
          <w:rFonts w:ascii="Arial" w:cs="Arial" w:eastAsia="Arial" w:hAnsi="Arial"/>
          <w:b/>
          <w:bCs/>
          <w:sz w:val="22"/>
          <w:szCs w:val="22"/>
        </w:rPr>
        <w:t xml:space="preserve">Sec. 3.03 Special permit process. </w:t>
      </w:r>
    </w:p>
    <w:p>
      <w:pPr>
        <w:spacing w:after="20" w:before="20"/>
        <w:ind w:left="360" w:hanging="360"/>
      </w:pPr>
      <w:r>
        <w:rPr>
          <w:rFonts w:ascii="Arial" w:cs="Arial" w:eastAsia="Arial" w:hAnsi="Arial"/>
          <w:sz w:val="22"/>
          <w:szCs w:val="22"/>
        </w:rPr>
        <w:t xml:space="preserve">(a) </w:t>
      </w:r>
      <w:r>
        <w:rPr>
          <w:rFonts w:ascii="Arial" w:cs="Arial" w:eastAsia="Arial" w:hAnsi="Arial"/>
          <w:sz w:val="22"/>
          <w:szCs w:val="22"/>
        </w:rPr>
        <w:t xml:space="preserve">The City Plan Commission shall hold a public hearing on each application and forward a recommendation, and the City Council shall approve, approve with conditions, or deny the special permit.</w:t>
      </w:r>
    </w:p>
    <w:p>
      <w:pPr>
        <w:spacing w:after="20" w:before="20"/>
        <w:ind w:left="360" w:hanging="360"/>
      </w:pPr>
      <w:r>
        <w:rPr>
          <w:rFonts w:ascii="Arial" w:cs="Arial" w:eastAsia="Arial" w:hAnsi="Arial"/>
          <w:sz w:val="22"/>
          <w:szCs w:val="22"/>
        </w:rPr>
        <w:t xml:space="preserve">(b) </w:t>
      </w:r>
      <w:r>
        <w:rPr>
          <w:rFonts w:ascii="Arial" w:cs="Arial" w:eastAsia="Arial" w:hAnsi="Arial"/>
          <w:sz w:val="22"/>
          <w:szCs w:val="22"/>
        </w:rPr>
        <w:t xml:space="preserve">Notice shall be given as required by Chapter 211 of the Texas Local Government Code and Title 20 of the City Code, including written notice to owners of property within 1,000 feet of the site.</w:t>
      </w:r>
    </w:p>
    <w:p>
      <w:pPr>
        <w:spacing w:after="20" w:before="20"/>
        <w:ind w:left="360" w:hanging="360"/>
      </w:pPr>
      <w:r>
        <w:rPr>
          <w:rFonts w:ascii="Arial" w:cs="Arial" w:eastAsia="Arial" w:hAnsi="Arial"/>
          <w:sz w:val="22"/>
          <w:szCs w:val="22"/>
        </w:rPr>
        <w:t xml:space="preserve">(c) </w:t>
      </w:r>
      <w:r>
        <w:rPr>
          <w:rFonts w:ascii="Arial" w:cs="Arial" w:eastAsia="Arial" w:hAnsi="Arial"/>
          <w:sz w:val="22"/>
          <w:szCs w:val="22"/>
        </w:rPr>
        <w:t xml:space="preserve">The City Council shall deny an application that fails to demonstrate compliance with Articles 3 through 7.</w:t>
      </w:r>
    </w:p>
    <w:p>
      <w:pPr>
        <w:spacing w:after="20" w:before="20"/>
        <w:ind w:left="360" w:hanging="360"/>
      </w:pPr>
      <w:r>
        <w:rPr>
          <w:rFonts w:ascii="Arial" w:cs="Arial" w:eastAsia="Arial" w:hAnsi="Arial"/>
          <w:sz w:val="22"/>
          <w:szCs w:val="22"/>
        </w:rPr>
        <w:t xml:space="preserve">(d) </w:t>
      </w:r>
      <w:r>
        <w:rPr>
          <w:rFonts w:ascii="Arial" w:cs="Arial" w:eastAsia="Arial" w:hAnsi="Arial"/>
          <w:sz w:val="22"/>
          <w:szCs w:val="22"/>
        </w:rPr>
        <w:t xml:space="preserve">Each requirement of this Ordinance and each condition imposed shall be a continuing condition of the special permit, and violation of any condition shall be grounds for revocation under Section 6.04.</w:t>
      </w:r>
    </w:p>
    <w:p>
      <w:pPr>
        <w:spacing w:after="40" w:before="100"/>
      </w:pPr>
      <w:r>
        <w:rPr>
          <w:rFonts w:ascii="Arial" w:cs="Arial" w:eastAsia="Arial" w:hAnsi="Arial"/>
          <w:b/>
          <w:bCs/>
          <w:sz w:val="22"/>
          <w:szCs w:val="22"/>
        </w:rPr>
        <w:t xml:space="preserve">Sec. 3.04 Setback. </w:t>
      </w:r>
    </w:p>
    <w:p>
      <w:pPr>
        <w:spacing w:after="20" w:before="20"/>
        <w:ind w:left="360" w:hanging="360"/>
      </w:pPr>
      <w:r>
        <w:rPr>
          <w:rFonts w:ascii="Arial" w:cs="Arial" w:eastAsia="Arial" w:hAnsi="Arial"/>
          <w:sz w:val="22"/>
          <w:szCs w:val="22"/>
        </w:rPr>
        <w:t xml:space="preserve">(a) </w:t>
      </w:r>
      <w:r>
        <w:rPr>
          <w:rFonts w:ascii="Arial" w:cs="Arial" w:eastAsia="Arial" w:hAnsi="Arial"/>
          <w:sz w:val="22"/>
          <w:szCs w:val="22"/>
        </w:rPr>
        <w:t xml:space="preserve">A hyperscale data center shall maintain a minimum setback of 1,000 feet from the property line of any residential zoning district, school, park, hospital, place of worship, or environmentally sensitive area.</w:t>
      </w:r>
    </w:p>
    <w:p>
      <w:pPr>
        <w:spacing w:after="20" w:before="20"/>
        <w:ind w:left="360" w:hanging="360"/>
      </w:pPr>
      <w:r>
        <w:rPr>
          <w:rFonts w:ascii="Arial" w:cs="Arial" w:eastAsia="Arial" w:hAnsi="Arial"/>
          <w:sz w:val="22"/>
          <w:szCs w:val="22"/>
        </w:rPr>
        <w:t xml:space="preserve">(b) </w:t>
      </w:r>
      <w:r>
        <w:rPr>
          <w:rFonts w:ascii="Arial" w:cs="Arial" w:eastAsia="Arial" w:hAnsi="Arial"/>
          <w:sz w:val="22"/>
          <w:szCs w:val="22"/>
        </w:rPr>
        <w:t xml:space="preserve">The setback shall be measured from the property line of the protected use or area to the nearest building, generator, cooling tower, fuel storage, electrical substation, or other operational equipment of the facility.</w:t>
      </w:r>
    </w:p>
    <w:p>
      <w:pPr>
        <w:spacing w:after="20" w:before="20"/>
        <w:ind w:left="360" w:hanging="360"/>
      </w:pPr>
      <w:r>
        <w:rPr>
          <w:rFonts w:ascii="Arial" w:cs="Arial" w:eastAsia="Arial" w:hAnsi="Arial"/>
          <w:sz w:val="22"/>
          <w:szCs w:val="22"/>
        </w:rPr>
        <w:t xml:space="preserve">(c) </w:t>
      </w:r>
      <w:r>
        <w:rPr>
          <w:rFonts w:ascii="Arial" w:cs="Arial" w:eastAsia="Arial" w:hAnsi="Arial"/>
          <w:sz w:val="22"/>
          <w:szCs w:val="22"/>
        </w:rPr>
        <w:t xml:space="preserve">An application that does not satisfy the setback shall be denied, and operation of any equipment within the setback shall be subject to a penalty under Section 6.02 and to revocation under Section 6.04.</w:t>
      </w:r>
    </w:p>
    <w:p>
      <w:pPr>
        <w:spacing w:after="40" w:before="100"/>
      </w:pPr>
      <w:r>
        <w:rPr>
          <w:rFonts w:ascii="Arial" w:cs="Arial" w:eastAsia="Arial" w:hAnsi="Arial"/>
          <w:b/>
          <w:bCs/>
          <w:sz w:val="22"/>
          <w:szCs w:val="22"/>
        </w:rPr>
        <w:t xml:space="preserve">Sec. 3.05 Application contents. </w:t>
      </w:r>
      <w:r>
        <w:rPr>
          <w:rFonts w:ascii="Arial" w:cs="Arial" w:eastAsia="Arial" w:hAnsi="Arial"/>
          <w:sz w:val="22"/>
          <w:szCs w:val="22"/>
        </w:rPr>
        <w:t xml:space="preserve">An application shall include the nameplate IT load and total electrical service; the projected water demand and source; the cooling technology; the count, size, fuel type, and storage volume of all generators; a power quality study under Section 4.02; an electrical load study and grid-capacity impact analysis prepared by an independent licensed professional engineer; a water supply and impact assessment addressing cumulative demand on the regional water basin; an interconnection cost-causation plan under Section 4.05; and a decommissioning plan and cost estimate under Section 7.01. An incomplete application shall not be accepted.</w:t>
      </w:r>
    </w:p>
    <w:p>
      <w:pPr>
        <w:pStyle w:val="Heading1"/>
        <w:spacing w:after="120" w:before="240"/>
      </w:pPr>
      <w:r>
        <w:rPr>
          <w:rFonts w:ascii="Arial" w:cs="Arial" w:eastAsia="Arial" w:hAnsi="Arial"/>
          <w:b/>
          <w:bCs/>
          <w:sz w:val="26"/>
          <w:szCs w:val="26"/>
        </w:rPr>
        <w:t xml:space="preserve">ARTICLE 4. PERFORMANCE STANDARDS</w:t>
      </w:r>
    </w:p>
    <w:p>
      <w:pPr>
        <w:spacing w:after="40" w:before="100"/>
      </w:pPr>
      <w:r>
        <w:rPr>
          <w:rFonts w:ascii="Arial" w:cs="Arial" w:eastAsia="Arial" w:hAnsi="Arial"/>
          <w:b/>
          <w:bCs/>
          <w:sz w:val="22"/>
          <w:szCs w:val="22"/>
        </w:rPr>
        <w:t xml:space="preserve">Sec. 4.01 Water. </w:t>
      </w:r>
    </w:p>
    <w:p>
      <w:pPr>
        <w:spacing w:after="20" w:before="20"/>
        <w:ind w:left="360" w:hanging="360"/>
      </w:pPr>
      <w:r>
        <w:rPr>
          <w:rFonts w:ascii="Arial" w:cs="Arial" w:eastAsia="Arial" w:hAnsi="Arial"/>
          <w:sz w:val="22"/>
          <w:szCs w:val="22"/>
        </w:rPr>
        <w:t xml:space="preserve">(a) </w:t>
      </w:r>
      <w:r>
        <w:rPr>
          <w:rFonts w:ascii="Arial" w:cs="Arial" w:eastAsia="Arial" w:hAnsi="Arial"/>
          <w:sz w:val="22"/>
          <w:szCs w:val="22"/>
        </w:rPr>
        <w:t xml:space="preserve">A hyperscale data center shall not withdraw more than 250 acre-feet of potable water per year, and shall supply not less than 90 percent of its total cooling water demand from reclaimed or other non-potable sources.</w:t>
      </w:r>
    </w:p>
    <w:p>
      <w:pPr>
        <w:spacing w:after="20" w:before="20"/>
        <w:ind w:left="360" w:hanging="360"/>
      </w:pPr>
      <w:r>
        <w:rPr>
          <w:rFonts w:ascii="Arial" w:cs="Arial" w:eastAsia="Arial" w:hAnsi="Arial"/>
          <w:sz w:val="22"/>
          <w:szCs w:val="22"/>
        </w:rPr>
        <w:t xml:space="preserve">(b) </w:t>
      </w:r>
      <w:r>
        <w:rPr>
          <w:rFonts w:ascii="Arial" w:cs="Arial" w:eastAsia="Arial" w:hAnsi="Arial"/>
          <w:sz w:val="22"/>
          <w:szCs w:val="22"/>
        </w:rPr>
        <w:t xml:space="preserve">The facility shall meter potable and non-potable water separately under Article 5.</w:t>
      </w:r>
    </w:p>
    <w:p>
      <w:pPr>
        <w:spacing w:after="20" w:before="20"/>
        <w:ind w:left="360" w:hanging="360"/>
      </w:pPr>
      <w:r>
        <w:rPr>
          <w:rFonts w:ascii="Arial" w:cs="Arial" w:eastAsia="Arial" w:hAnsi="Arial"/>
          <w:sz w:val="22"/>
          <w:szCs w:val="22"/>
        </w:rPr>
        <w:t xml:space="preserve">(c) </w:t>
      </w:r>
      <w:r>
        <w:rPr>
          <w:rFonts w:ascii="Arial" w:cs="Arial" w:eastAsia="Arial" w:hAnsi="Arial"/>
          <w:sz w:val="22"/>
          <w:szCs w:val="22"/>
        </w:rPr>
        <w:t xml:space="preserve">Exceedance of the potable water limit shall be a violation subject to a penalty under Section 6.02, and continued exceedance for more than 30 days shall be grounds for revocation under Section 6.04.</w:t>
      </w:r>
    </w:p>
    <w:p>
      <w:pPr>
        <w:spacing w:after="40" w:before="100"/>
      </w:pPr>
      <w:r>
        <w:rPr>
          <w:rFonts w:ascii="Arial" w:cs="Arial" w:eastAsia="Arial" w:hAnsi="Arial"/>
          <w:b/>
          <w:bCs/>
          <w:sz w:val="22"/>
          <w:szCs w:val="22"/>
        </w:rPr>
        <w:t xml:space="preserve">Sec. 4.02 Electric power quality. </w:t>
      </w:r>
    </w:p>
    <w:p>
      <w:pPr>
        <w:spacing w:after="20" w:before="20"/>
        <w:ind w:left="360" w:hanging="360"/>
      </w:pPr>
      <w:r>
        <w:rPr>
          <w:rFonts w:ascii="Arial" w:cs="Arial" w:eastAsia="Arial" w:hAnsi="Arial"/>
          <w:sz w:val="22"/>
          <w:szCs w:val="22"/>
        </w:rPr>
        <w:t xml:space="preserve">(a) </w:t>
      </w:r>
      <w:r>
        <w:rPr>
          <w:rFonts w:ascii="Arial" w:cs="Arial" w:eastAsia="Arial" w:hAnsi="Arial"/>
          <w:sz w:val="22"/>
          <w:szCs w:val="22"/>
        </w:rPr>
        <w:t xml:space="preserve">A hyperscale data center shall comply with IEEE 519-2022 at the point of common coupling.</w:t>
      </w:r>
    </w:p>
    <w:p>
      <w:pPr>
        <w:spacing w:after="20" w:before="20"/>
        <w:ind w:left="360" w:hanging="360"/>
      </w:pPr>
      <w:r>
        <w:rPr>
          <w:rFonts w:ascii="Arial" w:cs="Arial" w:eastAsia="Arial" w:hAnsi="Arial"/>
          <w:sz w:val="22"/>
          <w:szCs w:val="22"/>
        </w:rPr>
        <w:t xml:space="preserve">(b) </w:t>
      </w:r>
      <w:r>
        <w:rPr>
          <w:rFonts w:ascii="Arial" w:cs="Arial" w:eastAsia="Arial" w:hAnsi="Arial"/>
          <w:sz w:val="22"/>
          <w:szCs w:val="22"/>
        </w:rPr>
        <w:t xml:space="preserve">Total demand distortion shall not exceed 5.0 percent at the point of common coupling under all operating conditions, which is the most stringent current distortion limit in IEEE 519-2022, Table 2.</w:t>
      </w:r>
    </w:p>
    <w:p>
      <w:pPr>
        <w:spacing w:after="20" w:before="20"/>
        <w:ind w:left="360" w:hanging="360"/>
      </w:pPr>
      <w:r>
        <w:rPr>
          <w:rFonts w:ascii="Arial" w:cs="Arial" w:eastAsia="Arial" w:hAnsi="Arial"/>
          <w:sz w:val="22"/>
          <w:szCs w:val="22"/>
        </w:rPr>
        <w:t xml:space="preserve">(c) </w:t>
      </w:r>
      <w:r>
        <w:rPr>
          <w:rFonts w:ascii="Arial" w:cs="Arial" w:eastAsia="Arial" w:hAnsi="Arial"/>
          <w:sz w:val="22"/>
          <w:szCs w:val="22"/>
        </w:rPr>
        <w:t xml:space="preserve">Displacement power factor shall be maintained at 0.95 or greater across all operating conditions.</w:t>
      </w:r>
    </w:p>
    <w:p>
      <w:pPr>
        <w:spacing w:after="20" w:before="20"/>
        <w:ind w:left="360" w:hanging="360"/>
      </w:pPr>
      <w:r>
        <w:rPr>
          <w:rFonts w:ascii="Arial" w:cs="Arial" w:eastAsia="Arial" w:hAnsi="Arial"/>
          <w:sz w:val="22"/>
          <w:szCs w:val="22"/>
        </w:rPr>
        <w:t xml:space="preserve">(d) </w:t>
      </w:r>
      <w:r>
        <w:rPr>
          <w:rFonts w:ascii="Arial" w:cs="Arial" w:eastAsia="Arial" w:hAnsi="Arial"/>
          <w:sz w:val="22"/>
          <w:szCs w:val="22"/>
        </w:rPr>
        <w:t xml:space="preserve">An independent licensed professional engineer shall verify compliance at commissioning and at each capacity expansion, and shall file the verification under Article 5.</w:t>
      </w:r>
    </w:p>
    <w:p>
      <w:pPr>
        <w:spacing w:after="20" w:before="20"/>
        <w:ind w:left="360" w:hanging="360"/>
      </w:pPr>
      <w:r>
        <w:rPr>
          <w:rFonts w:ascii="Arial" w:cs="Arial" w:eastAsia="Arial" w:hAnsi="Arial"/>
          <w:sz w:val="22"/>
          <w:szCs w:val="22"/>
        </w:rPr>
        <w:t xml:space="preserve">(e) </w:t>
      </w:r>
      <w:r>
        <w:rPr>
          <w:rFonts w:ascii="Arial" w:cs="Arial" w:eastAsia="Arial" w:hAnsi="Arial"/>
          <w:sz w:val="22"/>
          <w:szCs w:val="22"/>
        </w:rPr>
        <w:t xml:space="preserve">Failure to meet any limit in this Section shall be a violation subject to a penalty under Section 6.02, and the facility shall correct the exceedance within 30 days or be subject to revocation under Section 6.04.</w:t>
      </w:r>
    </w:p>
    <w:p>
      <w:pPr>
        <w:spacing w:after="40" w:before="100"/>
      </w:pPr>
      <w:r>
        <w:rPr>
          <w:rFonts w:ascii="Arial" w:cs="Arial" w:eastAsia="Arial" w:hAnsi="Arial"/>
          <w:b/>
          <w:bCs/>
          <w:sz w:val="22"/>
          <w:szCs w:val="22"/>
        </w:rPr>
        <w:t xml:space="preserve">Sec. 4.03 Backup generation, air emissions, and fuel storage. </w:t>
      </w:r>
    </w:p>
    <w:p>
      <w:pPr>
        <w:spacing w:after="20" w:before="20"/>
        <w:ind w:left="360" w:hanging="360"/>
      </w:pPr>
      <w:r>
        <w:rPr>
          <w:rFonts w:ascii="Arial" w:cs="Arial" w:eastAsia="Arial" w:hAnsi="Arial"/>
          <w:sz w:val="22"/>
          <w:szCs w:val="22"/>
        </w:rPr>
        <w:t xml:space="preserve">(a) </w:t>
      </w:r>
      <w:r>
        <w:rPr>
          <w:rFonts w:ascii="Arial" w:cs="Arial" w:eastAsia="Arial" w:hAnsi="Arial"/>
          <w:sz w:val="22"/>
          <w:szCs w:val="22"/>
        </w:rPr>
        <w:t xml:space="preserve">Before operation, the applicant shall obtain all required air authorizations from the Texas Commission on Environmental Quality (TCEQ). Because Title 30 Texas Administrative Code Section 106.512 does not authorize electric generating units, backup generators shall be authorized under a TCEQ Air Quality Standard Permit or a permit under Title 30 Texas Administrative Code Chapter 116, as applicable.</w:t>
      </w:r>
    </w:p>
    <w:p>
      <w:pPr>
        <w:spacing w:after="20" w:before="20"/>
        <w:ind w:left="360" w:hanging="360"/>
      </w:pPr>
      <w:r>
        <w:rPr>
          <w:rFonts w:ascii="Arial" w:cs="Arial" w:eastAsia="Arial" w:hAnsi="Arial"/>
          <w:sz w:val="22"/>
          <w:szCs w:val="22"/>
        </w:rPr>
        <w:t xml:space="preserve">(b) </w:t>
      </w:r>
      <w:r>
        <w:rPr>
          <w:rFonts w:ascii="Arial" w:cs="Arial" w:eastAsia="Arial" w:hAnsi="Arial"/>
          <w:sz w:val="22"/>
          <w:szCs w:val="22"/>
        </w:rPr>
        <w:t xml:space="preserve">Each stationary compression-ignition engine shall comply with the federal New Source Performance Standards for stationary compression-ignition internal combustion engines at Title 40 Code of Federal Regulations Part 60, Subpart IIII.</w:t>
      </w:r>
    </w:p>
    <w:p>
      <w:pPr>
        <w:spacing w:after="20" w:before="20"/>
        <w:ind w:left="360" w:hanging="360"/>
      </w:pPr>
      <w:r>
        <w:rPr>
          <w:rFonts w:ascii="Arial" w:cs="Arial" w:eastAsia="Arial" w:hAnsi="Arial"/>
          <w:sz w:val="22"/>
          <w:szCs w:val="22"/>
        </w:rPr>
        <w:t xml:space="preserve">(c) </w:t>
      </w:r>
      <w:r>
        <w:rPr>
          <w:rFonts w:ascii="Arial" w:cs="Arial" w:eastAsia="Arial" w:hAnsi="Arial"/>
          <w:sz w:val="22"/>
          <w:szCs w:val="22"/>
        </w:rPr>
        <w:t xml:space="preserve">Non-emergency operation of each engine shall not exceed 50 hours per engine per year, consistent with the limits for emergency engines under Title 40 Code of Federal Regulations Part 60, Subpart IIII.</w:t>
      </w:r>
    </w:p>
    <w:p>
      <w:pPr>
        <w:spacing w:after="20" w:before="20"/>
        <w:ind w:left="360" w:hanging="360"/>
      </w:pPr>
      <w:r>
        <w:rPr>
          <w:rFonts w:ascii="Arial" w:cs="Arial" w:eastAsia="Arial" w:hAnsi="Arial"/>
          <w:sz w:val="22"/>
          <w:szCs w:val="22"/>
        </w:rPr>
        <w:t xml:space="preserve">(d) </w:t>
      </w:r>
      <w:r>
        <w:rPr>
          <w:rFonts w:ascii="Arial" w:cs="Arial" w:eastAsia="Arial" w:hAnsi="Arial"/>
          <w:sz w:val="22"/>
          <w:szCs w:val="22"/>
        </w:rPr>
        <w:t xml:space="preserve">Diesel and other fuel storage shall comply with the Spill Prevention, Control, and Countermeasure requirements of Title 40 Code of Federal Regulations Part 112. Secondary containment shall hold not less than 110 percent of the largest single container plus the volume of a 25-year, 24-hour rainfall event.</w:t>
      </w:r>
    </w:p>
    <w:p>
      <w:pPr>
        <w:spacing w:after="20" w:before="20"/>
        <w:ind w:left="360" w:hanging="360"/>
      </w:pPr>
      <w:r>
        <w:rPr>
          <w:rFonts w:ascii="Arial" w:cs="Arial" w:eastAsia="Arial" w:hAnsi="Arial"/>
          <w:sz w:val="22"/>
          <w:szCs w:val="22"/>
        </w:rPr>
        <w:t xml:space="preserve">(e) </w:t>
      </w:r>
      <w:r>
        <w:rPr>
          <w:rFonts w:ascii="Arial" w:cs="Arial" w:eastAsia="Arial" w:hAnsi="Arial"/>
          <w:sz w:val="22"/>
          <w:szCs w:val="22"/>
        </w:rPr>
        <w:t xml:space="preserve">Fuel storage shall comply with the separation distance and spacing requirements of NFPA 30, Flammable and Combustible Liquids Code.</w:t>
      </w:r>
    </w:p>
    <w:p>
      <w:pPr>
        <w:spacing w:after="20" w:before="20"/>
        <w:ind w:left="360" w:hanging="360"/>
      </w:pPr>
      <w:r>
        <w:rPr>
          <w:rFonts w:ascii="Arial" w:cs="Arial" w:eastAsia="Arial" w:hAnsi="Arial"/>
          <w:sz w:val="22"/>
          <w:szCs w:val="22"/>
        </w:rPr>
        <w:t xml:space="preserve">(f) </w:t>
      </w:r>
      <w:r>
        <w:rPr>
          <w:rFonts w:ascii="Arial" w:cs="Arial" w:eastAsia="Arial" w:hAnsi="Arial"/>
          <w:sz w:val="22"/>
          <w:szCs w:val="22"/>
        </w:rPr>
        <w:t xml:space="preserve">A facility with aggregate fuel storage exceeding 1,000,000 gallons shall prepare and maintain a Facility Response Plan under Title 40 Code of Federal Regulations Section 112.20.</w:t>
      </w:r>
    </w:p>
    <w:p>
      <w:pPr>
        <w:spacing w:after="20" w:before="20"/>
        <w:ind w:left="360" w:hanging="360"/>
      </w:pPr>
      <w:r>
        <w:rPr>
          <w:rFonts w:ascii="Arial" w:cs="Arial" w:eastAsia="Arial" w:hAnsi="Arial"/>
          <w:sz w:val="22"/>
          <w:szCs w:val="22"/>
        </w:rPr>
        <w:t xml:space="preserve">(g) </w:t>
      </w:r>
      <w:r>
        <w:rPr>
          <w:rFonts w:ascii="Arial" w:cs="Arial" w:eastAsia="Arial" w:hAnsi="Arial"/>
          <w:sz w:val="22"/>
          <w:szCs w:val="22"/>
        </w:rPr>
        <w:t xml:space="preserve">Fuel storage systems shall be inspected at least once per year, and the inspection report shall be filed with the El Paso Fire Department and the City Office of Emergency Management under Article 5.</w:t>
      </w:r>
    </w:p>
    <w:p>
      <w:pPr>
        <w:spacing w:after="20" w:before="20"/>
        <w:ind w:left="360" w:hanging="360"/>
      </w:pPr>
      <w:r>
        <w:rPr>
          <w:rFonts w:ascii="Arial" w:cs="Arial" w:eastAsia="Arial" w:hAnsi="Arial"/>
          <w:sz w:val="22"/>
          <w:szCs w:val="22"/>
        </w:rPr>
        <w:t xml:space="preserve">(h) </w:t>
      </w:r>
      <w:r>
        <w:rPr>
          <w:rFonts w:ascii="Arial" w:cs="Arial" w:eastAsia="Arial" w:hAnsi="Arial"/>
          <w:sz w:val="22"/>
          <w:szCs w:val="22"/>
        </w:rPr>
        <w:t xml:space="preserve">Operation without a required TCEQ authorization, or any other violation of this Section, shall be a violation subject to a penalty under Section 6.02 and grounds for revocation under Section 6.04.</w:t>
      </w:r>
    </w:p>
    <w:p>
      <w:pPr>
        <w:spacing w:after="40" w:before="100"/>
      </w:pPr>
      <w:r>
        <w:rPr>
          <w:rFonts w:ascii="Arial" w:cs="Arial" w:eastAsia="Arial" w:hAnsi="Arial"/>
          <w:b/>
          <w:bCs/>
          <w:sz w:val="22"/>
          <w:szCs w:val="22"/>
        </w:rPr>
        <w:t xml:space="preserve">Sec. 4.04 Noise. </w:t>
      </w:r>
    </w:p>
    <w:p>
      <w:pPr>
        <w:spacing w:after="20" w:before="20"/>
        <w:ind w:left="360" w:hanging="360"/>
      </w:pPr>
      <w:r>
        <w:rPr>
          <w:rFonts w:ascii="Arial" w:cs="Arial" w:eastAsia="Arial" w:hAnsi="Arial"/>
          <w:sz w:val="22"/>
          <w:szCs w:val="22"/>
        </w:rPr>
        <w:t xml:space="preserve">(a) </w:t>
      </w:r>
      <w:r>
        <w:rPr>
          <w:rFonts w:ascii="Arial" w:cs="Arial" w:eastAsia="Arial" w:hAnsi="Arial"/>
          <w:sz w:val="22"/>
          <w:szCs w:val="22"/>
        </w:rPr>
        <w:t xml:space="preserve">A hyperscale data center shall not produce sound exceeding 55 dBA between 7:00 a.m. and 10:00 p.m., or 50 dBA between 10:00 p.m. and 7:00 a.m., measured at the property line of any residential district or protected use.</w:t>
      </w:r>
    </w:p>
    <w:p>
      <w:pPr>
        <w:spacing w:after="20" w:before="20"/>
        <w:ind w:left="360" w:hanging="360"/>
      </w:pPr>
      <w:r>
        <w:rPr>
          <w:rFonts w:ascii="Arial" w:cs="Arial" w:eastAsia="Arial" w:hAnsi="Arial"/>
          <w:sz w:val="22"/>
          <w:szCs w:val="22"/>
        </w:rPr>
        <w:t xml:space="preserve">(b) </w:t>
      </w:r>
      <w:r>
        <w:rPr>
          <w:rFonts w:ascii="Arial" w:cs="Arial" w:eastAsia="Arial" w:hAnsi="Arial"/>
          <w:sz w:val="22"/>
          <w:szCs w:val="22"/>
        </w:rPr>
        <w:t xml:space="preserve">Sound shall be measured in accordance with ANSI S1.4 and ANSI S12.9.</w:t>
      </w:r>
    </w:p>
    <w:p>
      <w:pPr>
        <w:spacing w:after="20" w:before="20"/>
        <w:ind w:left="360" w:hanging="360"/>
      </w:pPr>
      <w:r>
        <w:rPr>
          <w:rFonts w:ascii="Arial" w:cs="Arial" w:eastAsia="Arial" w:hAnsi="Arial"/>
          <w:sz w:val="22"/>
          <w:szCs w:val="22"/>
        </w:rPr>
        <w:t xml:space="preserve">(c) </w:t>
      </w:r>
      <w:r>
        <w:rPr>
          <w:rFonts w:ascii="Arial" w:cs="Arial" w:eastAsia="Arial" w:hAnsi="Arial"/>
          <w:sz w:val="22"/>
          <w:szCs w:val="22"/>
        </w:rPr>
        <w:t xml:space="preserve">Exceedance shall be a violation subject to a penalty under Section 6.02.</w:t>
      </w:r>
    </w:p>
    <w:p>
      <w:pPr>
        <w:spacing w:after="40" w:before="100"/>
      </w:pPr>
      <w:r>
        <w:rPr>
          <w:rFonts w:ascii="Arial" w:cs="Arial" w:eastAsia="Arial" w:hAnsi="Arial"/>
          <w:b/>
          <w:bCs/>
          <w:sz w:val="22"/>
          <w:szCs w:val="22"/>
        </w:rPr>
        <w:t xml:space="preserve">Sec. 4.05 Interconnection cost causation. </w:t>
      </w:r>
    </w:p>
    <w:p>
      <w:pPr>
        <w:spacing w:after="20" w:before="20"/>
        <w:ind w:left="360" w:hanging="360"/>
      </w:pPr>
      <w:r>
        <w:rPr>
          <w:rFonts w:ascii="Arial" w:cs="Arial" w:eastAsia="Arial" w:hAnsi="Arial"/>
          <w:sz w:val="22"/>
          <w:szCs w:val="22"/>
        </w:rPr>
        <w:t xml:space="preserve">(a) </w:t>
      </w:r>
      <w:r>
        <w:rPr>
          <w:rFonts w:ascii="Arial" w:cs="Arial" w:eastAsia="Arial" w:hAnsi="Arial"/>
          <w:sz w:val="22"/>
          <w:szCs w:val="22"/>
        </w:rPr>
        <w:t xml:space="preserve">The applicant shall bear 100 percent of the cost of every electric and water utility system upgrade attributable to the facility, including generation, transmission, distribution, substation, water, and wastewater upgrades.</w:t>
      </w:r>
    </w:p>
    <w:p>
      <w:pPr>
        <w:spacing w:after="20" w:before="20"/>
        <w:ind w:left="360" w:hanging="360"/>
      </w:pPr>
      <w:r>
        <w:rPr>
          <w:rFonts w:ascii="Arial" w:cs="Arial" w:eastAsia="Arial" w:hAnsi="Arial"/>
          <w:sz w:val="22"/>
          <w:szCs w:val="22"/>
        </w:rPr>
        <w:t xml:space="preserve">(b) </w:t>
      </w:r>
      <w:r>
        <w:rPr>
          <w:rFonts w:ascii="Arial" w:cs="Arial" w:eastAsia="Arial" w:hAnsi="Arial"/>
          <w:sz w:val="22"/>
          <w:szCs w:val="22"/>
        </w:rPr>
        <w:t xml:space="preserve">The applicant shall enter into a cost-causation-based service or interconnection agreement with each serving utility consistent with that utility's applicable tariffs, the Public Utility Regulatory Act (Texas Utilities Code), Public Utility Commission of Texas rules at Title 16 Texas Administrative Code, and all other governing state and federal regulatory requirements.</w:t>
      </w:r>
    </w:p>
    <w:p>
      <w:pPr>
        <w:spacing w:after="20" w:before="20"/>
        <w:ind w:left="360" w:hanging="360"/>
      </w:pPr>
      <w:r>
        <w:rPr>
          <w:rFonts w:ascii="Arial" w:cs="Arial" w:eastAsia="Arial" w:hAnsi="Arial"/>
          <w:sz w:val="22"/>
          <w:szCs w:val="22"/>
        </w:rPr>
        <w:t xml:space="preserve">(c) </w:t>
      </w:r>
      <w:r>
        <w:rPr>
          <w:rFonts w:ascii="Arial" w:cs="Arial" w:eastAsia="Arial" w:hAnsi="Arial"/>
          <w:sz w:val="22"/>
          <w:szCs w:val="22"/>
        </w:rPr>
        <w:t xml:space="preserve">No cost attributable to the facility shall be allocated to other ratepayers.</w:t>
      </w:r>
    </w:p>
    <w:p>
      <w:pPr>
        <w:spacing w:after="20" w:before="20"/>
        <w:ind w:left="360" w:hanging="360"/>
      </w:pPr>
      <w:r>
        <w:rPr>
          <w:rFonts w:ascii="Arial" w:cs="Arial" w:eastAsia="Arial" w:hAnsi="Arial"/>
          <w:sz w:val="22"/>
          <w:szCs w:val="22"/>
        </w:rPr>
        <w:t xml:space="preserve">(d) </w:t>
      </w:r>
      <w:r>
        <w:rPr>
          <w:rFonts w:ascii="Arial" w:cs="Arial" w:eastAsia="Arial" w:hAnsi="Arial"/>
          <w:sz w:val="22"/>
          <w:szCs w:val="22"/>
        </w:rPr>
        <w:t xml:space="preserve">The applicant shall file the executed agreement and a certification of compliance under Article 5 before a certificate of occupancy is issued. Failure to comply shall preclude issuance of a certificate of occupancy and shall be grounds for revocation under Section 6.04.</w:t>
      </w:r>
    </w:p>
    <w:p>
      <w:pPr>
        <w:spacing w:after="40" w:before="100"/>
      </w:pPr>
      <w:r>
        <w:rPr>
          <w:rFonts w:ascii="Arial" w:cs="Arial" w:eastAsia="Arial" w:hAnsi="Arial"/>
          <w:b/>
          <w:bCs/>
          <w:sz w:val="22"/>
          <w:szCs w:val="22"/>
        </w:rPr>
        <w:t xml:space="preserve">Sec. 4.06 Grid emergency curtailment. </w:t>
      </w:r>
    </w:p>
    <w:p>
      <w:pPr>
        <w:spacing w:after="20" w:before="20"/>
        <w:ind w:left="360" w:hanging="360"/>
      </w:pPr>
      <w:r>
        <w:rPr>
          <w:rFonts w:ascii="Arial" w:cs="Arial" w:eastAsia="Arial" w:hAnsi="Arial"/>
          <w:sz w:val="22"/>
          <w:szCs w:val="22"/>
        </w:rPr>
        <w:t xml:space="preserve">(a) </w:t>
      </w:r>
      <w:r>
        <w:rPr>
          <w:rFonts w:ascii="Arial" w:cs="Arial" w:eastAsia="Arial" w:hAnsi="Arial"/>
          <w:sz w:val="22"/>
          <w:szCs w:val="22"/>
        </w:rPr>
        <w:t xml:space="preserve">Before operation, the facility shall install and maintain equipment enabling the serving electric utility to curtail the facility's load during a declared grid emergency or firm load shed event.</w:t>
      </w:r>
    </w:p>
    <w:p>
      <w:pPr>
        <w:spacing w:after="20" w:before="20"/>
        <w:ind w:left="360" w:hanging="360"/>
      </w:pPr>
      <w:r>
        <w:rPr>
          <w:rFonts w:ascii="Arial" w:cs="Arial" w:eastAsia="Arial" w:hAnsi="Arial"/>
          <w:sz w:val="22"/>
          <w:szCs w:val="22"/>
        </w:rPr>
        <w:t xml:space="preserve">(b) </w:t>
      </w:r>
      <w:r>
        <w:rPr>
          <w:rFonts w:ascii="Arial" w:cs="Arial" w:eastAsia="Arial" w:hAnsi="Arial"/>
          <w:sz w:val="22"/>
          <w:szCs w:val="22"/>
        </w:rPr>
        <w:t xml:space="preserve">Failure to install or maintain the equipment, or failure to curtail when directed, shall be a violation subject to a penalty under Section 6.02 and grounds for revocation under Section 6.04.</w:t>
      </w:r>
    </w:p>
    <w:p>
      <w:pPr>
        <w:spacing w:after="40" w:before="100"/>
      </w:pPr>
      <w:r>
        <w:rPr>
          <w:rFonts w:ascii="Arial" w:cs="Arial" w:eastAsia="Arial" w:hAnsi="Arial"/>
          <w:b/>
          <w:bCs/>
          <w:sz w:val="22"/>
          <w:szCs w:val="22"/>
        </w:rPr>
        <w:t xml:space="preserve">Sec. 4.07 Community benefits agreement conditions. </w:t>
      </w:r>
    </w:p>
    <w:p>
      <w:pPr>
        <w:spacing w:after="20" w:before="20"/>
        <w:ind w:left="360" w:hanging="360"/>
      </w:pPr>
      <w:r>
        <w:rPr>
          <w:rFonts w:ascii="Arial" w:cs="Arial" w:eastAsia="Arial" w:hAnsi="Arial"/>
          <w:sz w:val="22"/>
          <w:szCs w:val="22"/>
        </w:rPr>
        <w:t xml:space="preserve">(a) </w:t>
      </w:r>
      <w:r>
        <w:rPr>
          <w:rFonts w:ascii="Arial" w:cs="Arial" w:eastAsia="Arial" w:hAnsi="Arial"/>
          <w:sz w:val="22"/>
          <w:szCs w:val="22"/>
        </w:rPr>
        <w:t xml:space="preserve">Any community benefits agreement, and any agreement under Chapter 380 of the Texas Local Government Code between the City and the applicant, shall be incorporated by reference as binding conditions of the special permit.</w:t>
      </w:r>
    </w:p>
    <w:p>
      <w:pPr>
        <w:spacing w:after="20" w:before="20"/>
        <w:ind w:left="360" w:hanging="360"/>
      </w:pPr>
      <w:r>
        <w:rPr>
          <w:rFonts w:ascii="Arial" w:cs="Arial" w:eastAsia="Arial" w:hAnsi="Arial"/>
          <w:sz w:val="22"/>
          <w:szCs w:val="22"/>
        </w:rPr>
        <w:t xml:space="preserve">(b) </w:t>
      </w:r>
      <w:r>
        <w:rPr>
          <w:rFonts w:ascii="Arial" w:cs="Arial" w:eastAsia="Arial" w:hAnsi="Arial"/>
          <w:sz w:val="22"/>
          <w:szCs w:val="22"/>
        </w:rPr>
        <w:t xml:space="preserve">Breach of any incorporated term shall be a violation subject to a penalty under Section 6.02 and grounds for revocation under Section 6.04.</w:t>
      </w:r>
    </w:p>
    <w:p>
      <w:pPr>
        <w:pStyle w:val="Heading1"/>
        <w:spacing w:after="120" w:before="240"/>
      </w:pPr>
      <w:r>
        <w:rPr>
          <w:rFonts w:ascii="Arial" w:cs="Arial" w:eastAsia="Arial" w:hAnsi="Arial"/>
          <w:b/>
          <w:bCs/>
          <w:sz w:val="26"/>
          <w:szCs w:val="26"/>
        </w:rPr>
        <w:t xml:space="preserve">ARTICLE 5. MONITORING, METERING, AND REPORTING</w:t>
      </w:r>
    </w:p>
    <w:p>
      <w:pPr>
        <w:spacing w:after="40" w:before="100"/>
      </w:pPr>
      <w:r>
        <w:rPr>
          <w:rFonts w:ascii="Arial" w:cs="Arial" w:eastAsia="Arial" w:hAnsi="Arial"/>
          <w:b/>
          <w:bCs/>
          <w:sz w:val="22"/>
          <w:szCs w:val="22"/>
        </w:rPr>
        <w:t xml:space="preserve">Sec. 5.01 Metering. </w:t>
      </w:r>
    </w:p>
    <w:p>
      <w:pPr>
        <w:spacing w:after="20" w:before="20"/>
        <w:ind w:left="360" w:hanging="360"/>
      </w:pPr>
      <w:r>
        <w:rPr>
          <w:rFonts w:ascii="Arial" w:cs="Arial" w:eastAsia="Arial" w:hAnsi="Arial"/>
          <w:sz w:val="22"/>
          <w:szCs w:val="22"/>
        </w:rPr>
        <w:t xml:space="preserve">(a) </w:t>
      </w:r>
      <w:r>
        <w:rPr>
          <w:rFonts w:ascii="Arial" w:cs="Arial" w:eastAsia="Arial" w:hAnsi="Arial"/>
          <w:sz w:val="22"/>
          <w:szCs w:val="22"/>
        </w:rPr>
        <w:t xml:space="preserve">The facility shall install real-time interval metering of all electricity consumption and all water consumption, with separate metering of potable and non-potable water.</w:t>
      </w:r>
    </w:p>
    <w:p>
      <w:pPr>
        <w:spacing w:after="20" w:before="20"/>
        <w:ind w:left="360" w:hanging="360"/>
      </w:pPr>
      <w:r>
        <w:rPr>
          <w:rFonts w:ascii="Arial" w:cs="Arial" w:eastAsia="Arial" w:hAnsi="Arial"/>
          <w:sz w:val="22"/>
          <w:szCs w:val="22"/>
        </w:rPr>
        <w:t xml:space="preserve">(b) </w:t>
      </w:r>
      <w:r>
        <w:rPr>
          <w:rFonts w:ascii="Arial" w:cs="Arial" w:eastAsia="Arial" w:hAnsi="Arial"/>
          <w:sz w:val="22"/>
          <w:szCs w:val="22"/>
        </w:rPr>
        <w:t xml:space="preserve">Metering data shall be retained for not less than 7 years and made available to the City on request.</w:t>
      </w:r>
    </w:p>
    <w:p>
      <w:pPr>
        <w:spacing w:after="20" w:before="20"/>
        <w:ind w:left="360" w:hanging="360"/>
      </w:pPr>
      <w:r>
        <w:rPr>
          <w:rFonts w:ascii="Arial" w:cs="Arial" w:eastAsia="Arial" w:hAnsi="Arial"/>
          <w:sz w:val="22"/>
          <w:szCs w:val="22"/>
        </w:rPr>
        <w:t xml:space="preserve">(c) </w:t>
      </w:r>
      <w:r>
        <w:rPr>
          <w:rFonts w:ascii="Arial" w:cs="Arial" w:eastAsia="Arial" w:hAnsi="Arial"/>
          <w:sz w:val="22"/>
          <w:szCs w:val="22"/>
        </w:rPr>
        <w:t xml:space="preserve">Failure to install or maintain metering shall be a violation subject to a penalty under Section 6.02.</w:t>
      </w:r>
    </w:p>
    <w:p>
      <w:pPr>
        <w:spacing w:after="40" w:before="100"/>
      </w:pPr>
      <w:r>
        <w:rPr>
          <w:rFonts w:ascii="Arial" w:cs="Arial" w:eastAsia="Arial" w:hAnsi="Arial"/>
          <w:b/>
          <w:bCs/>
          <w:sz w:val="22"/>
          <w:szCs w:val="22"/>
        </w:rPr>
        <w:t xml:space="preserve">Sec. 5.02 Quarterly reports. </w:t>
      </w:r>
    </w:p>
    <w:p>
      <w:pPr>
        <w:spacing w:after="20" w:before="20"/>
        <w:ind w:left="360" w:hanging="360"/>
      </w:pPr>
      <w:r>
        <w:rPr>
          <w:rFonts w:ascii="Arial" w:cs="Arial" w:eastAsia="Arial" w:hAnsi="Arial"/>
          <w:sz w:val="22"/>
          <w:szCs w:val="22"/>
        </w:rPr>
        <w:t xml:space="preserve">(a) </w:t>
      </w:r>
      <w:r>
        <w:rPr>
          <w:rFonts w:ascii="Arial" w:cs="Arial" w:eastAsia="Arial" w:hAnsi="Arial"/>
          <w:sz w:val="22"/>
          <w:szCs w:val="22"/>
        </w:rPr>
        <w:t xml:space="preserve">Not later than 30 days after the end of each calendar quarter, the facility shall file with the Director a report stating metered electricity consumption, metered potable and non-potable water use, and generator operating hours.</w:t>
      </w:r>
    </w:p>
    <w:p>
      <w:pPr>
        <w:spacing w:after="20" w:before="20"/>
        <w:ind w:left="360" w:hanging="360"/>
      </w:pPr>
      <w:r>
        <w:rPr>
          <w:rFonts w:ascii="Arial" w:cs="Arial" w:eastAsia="Arial" w:hAnsi="Arial"/>
          <w:sz w:val="22"/>
          <w:szCs w:val="22"/>
        </w:rPr>
        <w:t xml:space="preserve">(b) </w:t>
      </w:r>
      <w:r>
        <w:rPr>
          <w:rFonts w:ascii="Arial" w:cs="Arial" w:eastAsia="Arial" w:hAnsi="Arial"/>
          <w:sz w:val="22"/>
          <w:szCs w:val="22"/>
        </w:rPr>
        <w:t xml:space="preserve">A late or incomplete report shall be a violation subject to a penalty under Section 6.02, assessed for each day under Section 6.01.</w:t>
      </w:r>
    </w:p>
    <w:p>
      <w:pPr>
        <w:spacing w:after="40" w:before="100"/>
      </w:pPr>
      <w:r>
        <w:rPr>
          <w:rFonts w:ascii="Arial" w:cs="Arial" w:eastAsia="Arial" w:hAnsi="Arial"/>
          <w:b/>
          <w:bCs/>
          <w:sz w:val="22"/>
          <w:szCs w:val="22"/>
        </w:rPr>
        <w:t xml:space="preserve">Sec. 5.03 Annual metrics and audit. </w:t>
      </w:r>
    </w:p>
    <w:p>
      <w:pPr>
        <w:spacing w:after="20" w:before="20"/>
        <w:ind w:left="360" w:hanging="360"/>
      </w:pPr>
      <w:r>
        <w:rPr>
          <w:rFonts w:ascii="Arial" w:cs="Arial" w:eastAsia="Arial" w:hAnsi="Arial"/>
          <w:sz w:val="22"/>
          <w:szCs w:val="22"/>
        </w:rPr>
        <w:t xml:space="preserve">(a) </w:t>
      </w:r>
      <w:r>
        <w:rPr>
          <w:rFonts w:ascii="Arial" w:cs="Arial" w:eastAsia="Arial" w:hAnsi="Arial"/>
          <w:sz w:val="22"/>
          <w:szCs w:val="22"/>
        </w:rPr>
        <w:t xml:space="preserve">The facility shall report annually its power usage effectiveness (PUE) and water usage effectiveness (WUE), each calculated for the preceding 12 months.</w:t>
      </w:r>
    </w:p>
    <w:p>
      <w:pPr>
        <w:spacing w:after="20" w:before="20"/>
        <w:ind w:left="360" w:hanging="360"/>
      </w:pPr>
      <w:r>
        <w:rPr>
          <w:rFonts w:ascii="Arial" w:cs="Arial" w:eastAsia="Arial" w:hAnsi="Arial"/>
          <w:sz w:val="22"/>
          <w:szCs w:val="22"/>
        </w:rPr>
        <w:t xml:space="preserve">(b) </w:t>
      </w:r>
      <w:r>
        <w:rPr>
          <w:rFonts w:ascii="Arial" w:cs="Arial" w:eastAsia="Arial" w:hAnsi="Arial"/>
          <w:sz w:val="22"/>
          <w:szCs w:val="22"/>
        </w:rPr>
        <w:t xml:space="preserve">The facility shall obtain an annual third-party performance audit, conducted at the facility's expense by an independent licensed professional engineer, verifying compliance with Article 4, and shall file the audit with the Director.</w:t>
      </w:r>
    </w:p>
    <w:p>
      <w:pPr>
        <w:spacing w:after="20" w:before="20"/>
        <w:ind w:left="360" w:hanging="360"/>
      </w:pPr>
      <w:r>
        <w:rPr>
          <w:rFonts w:ascii="Arial" w:cs="Arial" w:eastAsia="Arial" w:hAnsi="Arial"/>
          <w:sz w:val="22"/>
          <w:szCs w:val="22"/>
        </w:rPr>
        <w:t xml:space="preserve">(c) </w:t>
      </w:r>
      <w:r>
        <w:rPr>
          <w:rFonts w:ascii="Arial" w:cs="Arial" w:eastAsia="Arial" w:hAnsi="Arial"/>
          <w:sz w:val="22"/>
          <w:szCs w:val="22"/>
        </w:rPr>
        <w:t xml:space="preserve">Failure to file the annual metrics or the audit shall be a violation subject to a penalty under Section 6.02 and grounds for revocation under Section 6.04.</w:t>
      </w:r>
    </w:p>
    <w:p>
      <w:pPr>
        <w:spacing w:after="40" w:before="100"/>
      </w:pPr>
      <w:r>
        <w:rPr>
          <w:rFonts w:ascii="Arial" w:cs="Arial" w:eastAsia="Arial" w:hAnsi="Arial"/>
          <w:b/>
          <w:bCs/>
          <w:sz w:val="22"/>
          <w:szCs w:val="22"/>
        </w:rPr>
        <w:t xml:space="preserve">Sec. 5.04 Power quality and safety filings. </w:t>
      </w:r>
    </w:p>
    <w:p>
      <w:pPr>
        <w:spacing w:after="20" w:before="20"/>
        <w:ind w:left="360" w:hanging="360"/>
      </w:pPr>
      <w:r>
        <w:rPr>
          <w:rFonts w:ascii="Arial" w:cs="Arial" w:eastAsia="Arial" w:hAnsi="Arial"/>
          <w:sz w:val="22"/>
          <w:szCs w:val="22"/>
        </w:rPr>
        <w:t xml:space="preserve">(a) </w:t>
      </w:r>
      <w:r>
        <w:rPr>
          <w:rFonts w:ascii="Arial" w:cs="Arial" w:eastAsia="Arial" w:hAnsi="Arial"/>
          <w:sz w:val="22"/>
          <w:szCs w:val="22"/>
        </w:rPr>
        <w:t xml:space="preserve">The facility shall file the IEEE 519-2022 verification required by Section 4.02 at commissioning and at each capacity expansion.</w:t>
      </w:r>
    </w:p>
    <w:p>
      <w:pPr>
        <w:spacing w:after="20" w:before="20"/>
        <w:ind w:left="360" w:hanging="360"/>
      </w:pPr>
      <w:r>
        <w:rPr>
          <w:rFonts w:ascii="Arial" w:cs="Arial" w:eastAsia="Arial" w:hAnsi="Arial"/>
          <w:sz w:val="22"/>
          <w:szCs w:val="22"/>
        </w:rPr>
        <w:t xml:space="preserve">(b) </w:t>
      </w:r>
      <w:r>
        <w:rPr>
          <w:rFonts w:ascii="Arial" w:cs="Arial" w:eastAsia="Arial" w:hAnsi="Arial"/>
          <w:sz w:val="22"/>
          <w:szCs w:val="22"/>
        </w:rPr>
        <w:t xml:space="preserve">The facility shall file the annual fuel storage inspection required by Section 4.03 with the El Paso Fire Department and the City Office of Emergency Management.</w:t>
      </w:r>
    </w:p>
    <w:p>
      <w:pPr>
        <w:spacing w:after="20" w:before="20"/>
        <w:ind w:left="360" w:hanging="360"/>
      </w:pPr>
      <w:r>
        <w:rPr>
          <w:rFonts w:ascii="Arial" w:cs="Arial" w:eastAsia="Arial" w:hAnsi="Arial"/>
          <w:sz w:val="22"/>
          <w:szCs w:val="22"/>
        </w:rPr>
        <w:t xml:space="preserve">(c) </w:t>
      </w:r>
      <w:r>
        <w:rPr>
          <w:rFonts w:ascii="Arial" w:cs="Arial" w:eastAsia="Arial" w:hAnsi="Arial"/>
          <w:sz w:val="22"/>
          <w:szCs w:val="22"/>
        </w:rPr>
        <w:t xml:space="preserve">Failure to file shall be a violation subject to a penalty under Section 6.02.</w:t>
      </w:r>
    </w:p>
    <w:p>
      <w:pPr>
        <w:spacing w:after="40" w:before="100"/>
      </w:pPr>
      <w:r>
        <w:rPr>
          <w:rFonts w:ascii="Arial" w:cs="Arial" w:eastAsia="Arial" w:hAnsi="Arial"/>
          <w:b/>
          <w:bCs/>
          <w:sz w:val="22"/>
          <w:szCs w:val="22"/>
        </w:rPr>
        <w:t xml:space="preserve">Sec. 5.05 Public availability. </w:t>
      </w:r>
      <w:r>
        <w:rPr>
          <w:rFonts w:ascii="Arial" w:cs="Arial" w:eastAsia="Arial" w:hAnsi="Arial"/>
          <w:sz w:val="22"/>
          <w:szCs w:val="22"/>
        </w:rPr>
        <w:t xml:space="preserve">The Director shall make the quarterly reports, annual metrics, and audits available to the public, with redaction only as required by the Texas Public Information Act, Chapter 552 of the Texas Government Code.</w:t>
      </w:r>
    </w:p>
    <w:p>
      <w:pPr>
        <w:pStyle w:val="Heading1"/>
        <w:spacing w:after="120" w:before="240"/>
      </w:pPr>
      <w:r>
        <w:rPr>
          <w:rFonts w:ascii="Arial" w:cs="Arial" w:eastAsia="Arial" w:hAnsi="Arial"/>
          <w:b/>
          <w:bCs/>
          <w:sz w:val="26"/>
          <w:szCs w:val="26"/>
        </w:rPr>
        <w:t xml:space="preserve">ARTICLE 6. ENFORCEMENT AND PENALTIES</w:t>
      </w:r>
    </w:p>
    <w:p>
      <w:pPr>
        <w:spacing w:after="40" w:before="100"/>
      </w:pPr>
      <w:r>
        <w:rPr>
          <w:rFonts w:ascii="Arial" w:cs="Arial" w:eastAsia="Arial" w:hAnsi="Arial"/>
          <w:b/>
          <w:bCs/>
          <w:sz w:val="22"/>
          <w:szCs w:val="22"/>
        </w:rPr>
        <w:t xml:space="preserve">Sec. 6.01 Violations. </w:t>
      </w:r>
      <w:r>
        <w:rPr>
          <w:rFonts w:ascii="Arial" w:cs="Arial" w:eastAsia="Arial" w:hAnsi="Arial"/>
          <w:sz w:val="22"/>
          <w:szCs w:val="22"/>
        </w:rPr>
        <w:t xml:space="preserve">Each failure to comply with a requirement of this Ordinance or a condition of a special permit issued under it shall be a violation. Each day a violation continues shall be a separate offense.</w:t>
      </w:r>
    </w:p>
    <w:p>
      <w:pPr>
        <w:spacing w:after="40" w:before="100"/>
      </w:pPr>
      <w:r>
        <w:rPr>
          <w:rFonts w:ascii="Arial" w:cs="Arial" w:eastAsia="Arial" w:hAnsi="Arial"/>
          <w:b/>
          <w:bCs/>
          <w:sz w:val="22"/>
          <w:szCs w:val="22"/>
        </w:rPr>
        <w:t xml:space="preserve">Sec. 6.02 Penalty schedule. </w:t>
      </w:r>
      <w:r>
        <w:rPr>
          <w:rFonts w:ascii="Arial" w:cs="Arial" w:eastAsia="Arial" w:hAnsi="Arial"/>
          <w:sz w:val="22"/>
          <w:szCs w:val="22"/>
        </w:rPr>
        <w:t xml:space="preserve">The following penalties shall be assessed for each violation, for each day, and shall escalate as stated. No penalty under this Section shall exceed $2,000 per day per violation, which is the maximum authorized for an ordinance governing zoning and public health and safety under Section 54.001(b) of the Texas Local Government Code.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2000"/>
        <w:gridCol w:w="2000"/>
        <w:gridCol w:w="2000"/>
      </w:tblGrid>
      <w:tr>
        <w:tc>
          <w:tcPr>
            <w:tcW w:type="dxa" w:w="3360"/>
            <w:tcBorders>
              <w:top w:val="single" w:color="999999" w:sz="1"/>
              <w:left w:val="single" w:color="999999" w:sz="1"/>
              <w:bottom w:val="single" w:color="999999" w:sz="1"/>
              <w:right w:val="single" w:color="999999" w:sz="1"/>
            </w:tcBorders>
            <w:shd w:fill="D9D9D9" w:val="clear"/>
            <w:tcMar>
              <w:top w:type="dxa" w:w="60"/>
              <w:left w:type="dxa" w:w="100"/>
              <w:bottom w:type="dxa" w:w="60"/>
              <w:right w:type="dxa" w:w="100"/>
            </w:tcMar>
          </w:tcPr>
          <w:p>
            <w:r>
              <w:rPr>
                <w:rFonts w:ascii="Arial" w:cs="Arial" w:eastAsia="Arial" w:hAnsi="Arial"/>
                <w:b/>
                <w:bCs/>
                <w:sz w:val="20"/>
                <w:szCs w:val="20"/>
              </w:rPr>
              <w:t xml:space="preserve">Violation category</w:t>
            </w:r>
          </w:p>
        </w:tc>
        <w:tc>
          <w:tcPr>
            <w:tcW w:type="dxa" w:w="2000"/>
            <w:tcBorders>
              <w:top w:val="single" w:color="999999" w:sz="1"/>
              <w:left w:val="single" w:color="999999" w:sz="1"/>
              <w:bottom w:val="single" w:color="999999" w:sz="1"/>
              <w:right w:val="single" w:color="999999" w:sz="1"/>
            </w:tcBorders>
            <w:shd w:fill="D9D9D9" w:val="clear"/>
            <w:tcMar>
              <w:top w:type="dxa" w:w="60"/>
              <w:left w:type="dxa" w:w="100"/>
              <w:bottom w:type="dxa" w:w="60"/>
              <w:right w:type="dxa" w:w="100"/>
            </w:tcMar>
          </w:tcPr>
          <w:p>
            <w:r>
              <w:rPr>
                <w:rFonts w:ascii="Arial" w:cs="Arial" w:eastAsia="Arial" w:hAnsi="Arial"/>
                <w:b/>
                <w:bCs/>
                <w:sz w:val="20"/>
                <w:szCs w:val="20"/>
              </w:rPr>
              <w:t xml:space="preserve">Days 1 to 15</w:t>
            </w:r>
          </w:p>
        </w:tc>
        <w:tc>
          <w:tcPr>
            <w:tcW w:type="dxa" w:w="2000"/>
            <w:tcBorders>
              <w:top w:val="single" w:color="999999" w:sz="1"/>
              <w:left w:val="single" w:color="999999" w:sz="1"/>
              <w:bottom w:val="single" w:color="999999" w:sz="1"/>
              <w:right w:val="single" w:color="999999" w:sz="1"/>
            </w:tcBorders>
            <w:shd w:fill="D9D9D9" w:val="clear"/>
            <w:tcMar>
              <w:top w:type="dxa" w:w="60"/>
              <w:left w:type="dxa" w:w="100"/>
              <w:bottom w:type="dxa" w:w="60"/>
              <w:right w:type="dxa" w:w="100"/>
            </w:tcMar>
          </w:tcPr>
          <w:p>
            <w:r>
              <w:rPr>
                <w:rFonts w:ascii="Arial" w:cs="Arial" w:eastAsia="Arial" w:hAnsi="Arial"/>
                <w:b/>
                <w:bCs/>
                <w:sz w:val="20"/>
                <w:szCs w:val="20"/>
              </w:rPr>
              <w:t xml:space="preserve">Days 16 to 45</w:t>
            </w:r>
          </w:p>
        </w:tc>
        <w:tc>
          <w:tcPr>
            <w:tcW w:type="dxa" w:w="2000"/>
            <w:tcBorders>
              <w:top w:val="single" w:color="999999" w:sz="1"/>
              <w:left w:val="single" w:color="999999" w:sz="1"/>
              <w:bottom w:val="single" w:color="999999" w:sz="1"/>
              <w:right w:val="single" w:color="999999" w:sz="1"/>
            </w:tcBorders>
            <w:shd w:fill="D9D9D9" w:val="clear"/>
            <w:tcMar>
              <w:top w:type="dxa" w:w="60"/>
              <w:left w:type="dxa" w:w="100"/>
              <w:bottom w:type="dxa" w:w="60"/>
              <w:right w:type="dxa" w:w="100"/>
            </w:tcMar>
          </w:tcPr>
          <w:p>
            <w:r>
              <w:rPr>
                <w:rFonts w:ascii="Arial" w:cs="Arial" w:eastAsia="Arial" w:hAnsi="Arial"/>
                <w:b/>
                <w:bCs/>
                <w:sz w:val="20"/>
                <w:szCs w:val="20"/>
              </w:rPr>
              <w:t xml:space="preserve">Day 46 and after</w:t>
            </w:r>
          </w:p>
        </w:tc>
      </w:tr>
      <w:tr>
        <w:tc>
          <w:tcPr>
            <w:tcW w:type="dxa" w:w="3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val="false"/>
                <w:bCs w:val="false"/>
                <w:sz w:val="20"/>
                <w:szCs w:val="20"/>
              </w:rPr>
              <w:t xml:space="preserve">Reporting, metering, and audit violations (Article 5)</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val="false"/>
                <w:bCs w:val="false"/>
                <w:sz w:val="20"/>
                <w:szCs w:val="20"/>
              </w:rPr>
              <w:t xml:space="preserve">$500 / day</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val="false"/>
                <w:bCs w:val="false"/>
                <w:sz w:val="20"/>
                <w:szCs w:val="20"/>
              </w:rPr>
              <w:t xml:space="preserve">$1,000 / day</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val="false"/>
                <w:bCs w:val="false"/>
                <w:sz w:val="20"/>
                <w:szCs w:val="20"/>
              </w:rPr>
              <w:t xml:space="preserve">$2,000 / day</w:t>
            </w:r>
          </w:p>
        </w:tc>
      </w:tr>
      <w:tr>
        <w:tc>
          <w:tcPr>
            <w:tcW w:type="dxa" w:w="3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val="false"/>
                <w:bCs w:val="false"/>
                <w:sz w:val="20"/>
                <w:szCs w:val="20"/>
              </w:rPr>
              <w:t xml:space="preserve">Performance standard violations (water, power quality, air and fuel, noise, curtailment) (Article 4)</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val="false"/>
                <w:bCs w:val="false"/>
                <w:sz w:val="20"/>
                <w:szCs w:val="20"/>
              </w:rPr>
              <w:t xml:space="preserve">$1,000 / day</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val="false"/>
                <w:bCs w:val="false"/>
                <w:sz w:val="20"/>
                <w:szCs w:val="20"/>
              </w:rPr>
              <w:t xml:space="preserve">$1,500 / day</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val="false"/>
                <w:bCs w:val="false"/>
                <w:sz w:val="20"/>
                <w:szCs w:val="20"/>
              </w:rPr>
              <w:t xml:space="preserve">$2,000 / day</w:t>
            </w:r>
          </w:p>
        </w:tc>
      </w:tr>
      <w:tr>
        <w:tc>
          <w:tcPr>
            <w:tcW w:type="dxa" w:w="3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val="false"/>
                <w:bCs w:val="false"/>
                <w:sz w:val="20"/>
                <w:szCs w:val="20"/>
              </w:rPr>
              <w:t xml:space="preserve">Operating without a required special permit or TCEQ authorization, or with equipment inside the required setback (Articles 3 and 4)</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val="false"/>
                <w:bCs w:val="false"/>
                <w:sz w:val="20"/>
                <w:szCs w:val="20"/>
              </w:rPr>
              <w:t xml:space="preserve">$2,000 / day</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val="false"/>
                <w:bCs w:val="false"/>
                <w:sz w:val="20"/>
                <w:szCs w:val="20"/>
              </w:rPr>
              <w:t xml:space="preserve">$2,000 / day</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val="false"/>
                <w:bCs w:val="false"/>
                <w:sz w:val="20"/>
                <w:szCs w:val="20"/>
              </w:rPr>
              <w:t xml:space="preserve">$2,000 / day</w:t>
            </w:r>
          </w:p>
        </w:tc>
      </w:tr>
      <w:tr>
        <w:tc>
          <w:tcPr>
            <w:tcW w:type="dxa" w:w="336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val="false"/>
                <w:bCs w:val="false"/>
                <w:sz w:val="20"/>
                <w:szCs w:val="20"/>
              </w:rPr>
              <w:t xml:space="preserve">Breach of an incorporated community benefits or Chapter 380 condition (Section 4.07)</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val="false"/>
                <w:bCs w:val="false"/>
                <w:sz w:val="20"/>
                <w:szCs w:val="20"/>
              </w:rPr>
              <w:t xml:space="preserve">$2,000 / day</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val="false"/>
                <w:bCs w:val="false"/>
                <w:sz w:val="20"/>
                <w:szCs w:val="20"/>
              </w:rPr>
              <w:t xml:space="preserve">$2,000 / day</w:t>
            </w:r>
          </w:p>
        </w:tc>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val="false"/>
                <w:bCs w:val="false"/>
                <w:sz w:val="20"/>
                <w:szCs w:val="20"/>
              </w:rPr>
              <w:t xml:space="preserve">$2,000 / day</w:t>
            </w:r>
          </w:p>
        </w:tc>
      </w:tr>
    </w:tbl>
    <w:p>
      <w:pPr>
        <w:spacing w:after="40" w:before="60"/>
      </w:pPr>
      <w:r>
        <w:rPr>
          <w:rFonts w:ascii="Arial" w:cs="Arial" w:eastAsia="Arial" w:hAnsi="Arial"/>
          <w:b w:val="false"/>
          <w:bCs w:val="false"/>
          <w:i/>
          <w:iCs/>
          <w:sz w:val="20"/>
          <w:szCs w:val="20"/>
        </w:rPr>
        <w:t xml:space="preserve">The dollar amounts in this schedule are set at or below the statutory maximum and may be set by the City Council at any amount up to that maximum. These amounts are hereby adopted.</w:t>
      </w:r>
    </w:p>
    <w:p>
      <w:pPr>
        <w:spacing w:after="40" w:before="100"/>
      </w:pPr>
      <w:r>
        <w:rPr>
          <w:rFonts w:ascii="Arial" w:cs="Arial" w:eastAsia="Arial" w:hAnsi="Arial"/>
          <w:b/>
          <w:bCs/>
          <w:sz w:val="22"/>
          <w:szCs w:val="22"/>
        </w:rPr>
        <w:t xml:space="preserve">Sec. 6.03 Civil enforcement. </w:t>
      </w:r>
      <w:r>
        <w:rPr>
          <w:rFonts w:ascii="Arial" w:cs="Arial" w:eastAsia="Arial" w:hAnsi="Arial"/>
          <w:sz w:val="22"/>
          <w:szCs w:val="22"/>
        </w:rPr>
        <w:t xml:space="preserve">In addition to penalties under Section 6.02, the City may bring a civil action under Subchapter B, Chapter 54 of the Texas Local Government Code to enjoin a violation and recover civil penalties, and may pursue every other remedy available at law or in equity.</w:t>
      </w:r>
    </w:p>
    <w:p>
      <w:pPr>
        <w:spacing w:after="40" w:before="100"/>
      </w:pPr>
      <w:r>
        <w:rPr>
          <w:rFonts w:ascii="Arial" w:cs="Arial" w:eastAsia="Arial" w:hAnsi="Arial"/>
          <w:b/>
          <w:bCs/>
          <w:sz w:val="22"/>
          <w:szCs w:val="22"/>
        </w:rPr>
        <w:t xml:space="preserve">Sec. 6.04 Revocation. </w:t>
      </w:r>
      <w:r>
        <w:rPr>
          <w:rFonts w:ascii="Arial" w:cs="Arial" w:eastAsia="Arial" w:hAnsi="Arial"/>
          <w:sz w:val="22"/>
          <w:szCs w:val="22"/>
        </w:rPr>
        <w:t xml:space="preserve">After notice and a hearing, the City Council shall revoke a special permit on a finding that the permittee committed a violation that remains uncured for 30 days after written notice, or committed repeated violations. On revocation, the use shall cease.</w:t>
      </w:r>
    </w:p>
    <w:p>
      <w:pPr>
        <w:spacing w:after="40" w:before="100"/>
      </w:pPr>
      <w:r>
        <w:rPr>
          <w:rFonts w:ascii="Arial" w:cs="Arial" w:eastAsia="Arial" w:hAnsi="Arial"/>
          <w:b/>
          <w:bCs/>
          <w:sz w:val="22"/>
          <w:szCs w:val="22"/>
        </w:rPr>
        <w:t xml:space="preserve">Sec. 6.05 Certificate of occupancy and stop work. </w:t>
      </w:r>
      <w:r>
        <w:rPr>
          <w:rFonts w:ascii="Arial" w:cs="Arial" w:eastAsia="Arial" w:hAnsi="Arial"/>
          <w:sz w:val="22"/>
          <w:szCs w:val="22"/>
        </w:rPr>
        <w:t xml:space="preserve">The Director shall withhold a certificate of occupancy from, and may issue a stop-work order to, a facility that is not in compliance with this Ordinance.</w:t>
      </w:r>
    </w:p>
    <w:p>
      <w:pPr>
        <w:spacing w:after="40" w:before="100"/>
      </w:pPr>
      <w:r>
        <w:rPr>
          <w:rFonts w:ascii="Arial" w:cs="Arial" w:eastAsia="Arial" w:hAnsi="Arial"/>
          <w:b/>
          <w:bCs/>
          <w:sz w:val="22"/>
          <w:szCs w:val="22"/>
        </w:rPr>
        <w:t xml:space="preserve">Sec. 6.06 Cumulative remedies. </w:t>
      </w:r>
      <w:r>
        <w:rPr>
          <w:rFonts w:ascii="Arial" w:cs="Arial" w:eastAsia="Arial" w:hAnsi="Arial"/>
          <w:sz w:val="22"/>
          <w:szCs w:val="22"/>
        </w:rPr>
        <w:t xml:space="preserve">The remedies in this Article are cumulative and not exclusive.</w:t>
      </w:r>
    </w:p>
    <w:p>
      <w:pPr>
        <w:pStyle w:val="Heading1"/>
        <w:spacing w:after="120" w:before="240"/>
      </w:pPr>
      <w:r>
        <w:rPr>
          <w:rFonts w:ascii="Arial" w:cs="Arial" w:eastAsia="Arial" w:hAnsi="Arial"/>
          <w:b/>
          <w:bCs/>
          <w:sz w:val="26"/>
          <w:szCs w:val="26"/>
        </w:rPr>
        <w:t xml:space="preserve">ARTICLE 7. DECOMMISSIONING AND FINANCIAL ASSURANCE</w:t>
      </w:r>
    </w:p>
    <w:p>
      <w:pPr>
        <w:spacing w:after="40" w:before="100"/>
      </w:pPr>
      <w:r>
        <w:rPr>
          <w:rFonts w:ascii="Arial" w:cs="Arial" w:eastAsia="Arial" w:hAnsi="Arial"/>
          <w:b/>
          <w:bCs/>
          <w:sz w:val="22"/>
          <w:szCs w:val="22"/>
        </w:rPr>
        <w:t xml:space="preserve">Sec. 7.01 Decommissioning plan. </w:t>
      </w:r>
    </w:p>
    <w:p>
      <w:pPr>
        <w:spacing w:after="20" w:before="20"/>
        <w:ind w:left="360" w:hanging="360"/>
      </w:pPr>
      <w:r>
        <w:rPr>
          <w:rFonts w:ascii="Arial" w:cs="Arial" w:eastAsia="Arial" w:hAnsi="Arial"/>
          <w:sz w:val="22"/>
          <w:szCs w:val="22"/>
        </w:rPr>
        <w:t xml:space="preserve">(a) </w:t>
      </w:r>
      <w:r>
        <w:rPr>
          <w:rFonts w:ascii="Arial" w:cs="Arial" w:eastAsia="Arial" w:hAnsi="Arial"/>
          <w:sz w:val="22"/>
          <w:szCs w:val="22"/>
        </w:rPr>
        <w:t xml:space="preserve">The applicant shall submit at application a decommissioning plan, prepared by an independent licensed professional engineer, stating the full cost of removing all structures, equipment, foundations, generators, tanks, and substations, and of restoring the site.</w:t>
      </w:r>
    </w:p>
    <w:p>
      <w:pPr>
        <w:spacing w:after="20" w:before="20"/>
        <w:ind w:left="360" w:hanging="360"/>
      </w:pPr>
      <w:r>
        <w:rPr>
          <w:rFonts w:ascii="Arial" w:cs="Arial" w:eastAsia="Arial" w:hAnsi="Arial"/>
          <w:sz w:val="22"/>
          <w:szCs w:val="22"/>
        </w:rPr>
        <w:t xml:space="preserve">(b) </w:t>
      </w:r>
      <w:r>
        <w:rPr>
          <w:rFonts w:ascii="Arial" w:cs="Arial" w:eastAsia="Arial" w:hAnsi="Arial"/>
          <w:sz w:val="22"/>
          <w:szCs w:val="22"/>
        </w:rPr>
        <w:t xml:space="preserve">An application without a decommissioning plan shall not be accepted.</w:t>
      </w:r>
    </w:p>
    <w:p>
      <w:pPr>
        <w:spacing w:after="40" w:before="100"/>
      </w:pPr>
      <w:r>
        <w:rPr>
          <w:rFonts w:ascii="Arial" w:cs="Arial" w:eastAsia="Arial" w:hAnsi="Arial"/>
          <w:b/>
          <w:bCs/>
          <w:sz w:val="22"/>
          <w:szCs w:val="22"/>
        </w:rPr>
        <w:t xml:space="preserve">Sec. 7.02 Financial assurance. </w:t>
      </w:r>
    </w:p>
    <w:p>
      <w:pPr>
        <w:spacing w:after="20" w:before="20"/>
        <w:ind w:left="360" w:hanging="360"/>
      </w:pPr>
      <w:r>
        <w:rPr>
          <w:rFonts w:ascii="Arial" w:cs="Arial" w:eastAsia="Arial" w:hAnsi="Arial"/>
          <w:sz w:val="22"/>
          <w:szCs w:val="22"/>
        </w:rPr>
        <w:t xml:space="preserve">(a) </w:t>
      </w:r>
      <w:r>
        <w:rPr>
          <w:rFonts w:ascii="Arial" w:cs="Arial" w:eastAsia="Arial" w:hAnsi="Arial"/>
          <w:sz w:val="22"/>
          <w:szCs w:val="22"/>
        </w:rPr>
        <w:t xml:space="preserve">Before issuance of a certificate of occupancy, the applicant shall post financial assurance, as a surety bond, an irrevocable letter of credit, or a cash deposit, in an amount equal to 100 percent of the decommissioning cost estimated under Section 7.01, naming the City as beneficiary.</w:t>
      </w:r>
    </w:p>
    <w:p>
      <w:pPr>
        <w:spacing w:after="20" w:before="20"/>
        <w:ind w:left="360" w:hanging="360"/>
      </w:pPr>
      <w:r>
        <w:rPr>
          <w:rFonts w:ascii="Arial" w:cs="Arial" w:eastAsia="Arial" w:hAnsi="Arial"/>
          <w:sz w:val="22"/>
          <w:szCs w:val="22"/>
        </w:rPr>
        <w:t xml:space="preserve">(b) </w:t>
      </w:r>
      <w:r>
        <w:rPr>
          <w:rFonts w:ascii="Arial" w:cs="Arial" w:eastAsia="Arial" w:hAnsi="Arial"/>
          <w:sz w:val="22"/>
          <w:szCs w:val="22"/>
        </w:rPr>
        <w:t xml:space="preserve">A certificate of occupancy shall not be issued until the financial assurance is posted.</w:t>
      </w:r>
    </w:p>
    <w:p>
      <w:pPr>
        <w:spacing w:after="40" w:before="100"/>
      </w:pPr>
      <w:r>
        <w:rPr>
          <w:rFonts w:ascii="Arial" w:cs="Arial" w:eastAsia="Arial" w:hAnsi="Arial"/>
          <w:b/>
          <w:bCs/>
          <w:sz w:val="22"/>
          <w:szCs w:val="22"/>
        </w:rPr>
        <w:t xml:space="preserve">Sec. 7.03 Review and adjustment. </w:t>
      </w:r>
    </w:p>
    <w:p>
      <w:pPr>
        <w:spacing w:after="20" w:before="20"/>
        <w:ind w:left="360" w:hanging="360"/>
      </w:pPr>
      <w:r>
        <w:rPr>
          <w:rFonts w:ascii="Arial" w:cs="Arial" w:eastAsia="Arial" w:hAnsi="Arial"/>
          <w:sz w:val="22"/>
          <w:szCs w:val="22"/>
        </w:rPr>
        <w:t xml:space="preserve">(a) </w:t>
      </w:r>
      <w:r>
        <w:rPr>
          <w:rFonts w:ascii="Arial" w:cs="Arial" w:eastAsia="Arial" w:hAnsi="Arial"/>
          <w:sz w:val="22"/>
          <w:szCs w:val="22"/>
        </w:rPr>
        <w:t xml:space="preserve">An independent licensed professional engineer shall review and update the decommissioning cost estimate and the financial assurance amount not less than once every 3 years.</w:t>
      </w:r>
    </w:p>
    <w:p>
      <w:pPr>
        <w:spacing w:after="20" w:before="20"/>
        <w:ind w:left="360" w:hanging="360"/>
      </w:pPr>
      <w:r>
        <w:rPr>
          <w:rFonts w:ascii="Arial" w:cs="Arial" w:eastAsia="Arial" w:hAnsi="Arial"/>
          <w:sz w:val="22"/>
          <w:szCs w:val="22"/>
        </w:rPr>
        <w:t xml:space="preserve">(b) </w:t>
      </w:r>
      <w:r>
        <w:rPr>
          <w:rFonts w:ascii="Arial" w:cs="Arial" w:eastAsia="Arial" w:hAnsi="Arial"/>
          <w:sz w:val="22"/>
          <w:szCs w:val="22"/>
        </w:rPr>
        <w:t xml:space="preserve">The amount shall be adjusted for inflation using the Engineering News-Record Construction Cost Index (ENR-CCI).</w:t>
      </w:r>
    </w:p>
    <w:p>
      <w:pPr>
        <w:spacing w:after="20" w:before="20"/>
        <w:ind w:left="360" w:hanging="360"/>
      </w:pPr>
      <w:r>
        <w:rPr>
          <w:rFonts w:ascii="Arial" w:cs="Arial" w:eastAsia="Arial" w:hAnsi="Arial"/>
          <w:sz w:val="22"/>
          <w:szCs w:val="22"/>
        </w:rPr>
        <w:t xml:space="preserve">(c) </w:t>
      </w:r>
      <w:r>
        <w:rPr>
          <w:rFonts w:ascii="Arial" w:cs="Arial" w:eastAsia="Arial" w:hAnsi="Arial"/>
          <w:sz w:val="22"/>
          <w:szCs w:val="22"/>
        </w:rPr>
        <w:t xml:space="preserve">Failure to maintain the financial assurance at the required amount shall be a violation subject to a penalty under Section 6.02 and grounds for revocation under Section 6.04.</w:t>
      </w:r>
    </w:p>
    <w:p>
      <w:pPr>
        <w:spacing w:after="40" w:before="100"/>
      </w:pPr>
      <w:r>
        <w:rPr>
          <w:rFonts w:ascii="Arial" w:cs="Arial" w:eastAsia="Arial" w:hAnsi="Arial"/>
          <w:b/>
          <w:bCs/>
          <w:sz w:val="22"/>
          <w:szCs w:val="22"/>
        </w:rPr>
        <w:t xml:space="preserve">Sec. 7.04 Abandonment and drawdown. </w:t>
      </w:r>
    </w:p>
    <w:p>
      <w:pPr>
        <w:spacing w:after="20" w:before="20"/>
        <w:ind w:left="360" w:hanging="360"/>
      </w:pPr>
      <w:r>
        <w:rPr>
          <w:rFonts w:ascii="Arial" w:cs="Arial" w:eastAsia="Arial" w:hAnsi="Arial"/>
          <w:sz w:val="22"/>
          <w:szCs w:val="22"/>
        </w:rPr>
        <w:t xml:space="preserve">(a) </w:t>
      </w:r>
      <w:r>
        <w:rPr>
          <w:rFonts w:ascii="Arial" w:cs="Arial" w:eastAsia="Arial" w:hAnsi="Arial"/>
          <w:sz w:val="22"/>
          <w:szCs w:val="22"/>
        </w:rPr>
        <w:t xml:space="preserve">A facility that ceases operation for 12 consecutive months shall be deemed abandoned.</w:t>
      </w:r>
    </w:p>
    <w:p>
      <w:pPr>
        <w:spacing w:after="20" w:before="20"/>
        <w:ind w:left="360" w:hanging="360"/>
      </w:pPr>
      <w:r>
        <w:rPr>
          <w:rFonts w:ascii="Arial" w:cs="Arial" w:eastAsia="Arial" w:hAnsi="Arial"/>
          <w:sz w:val="22"/>
          <w:szCs w:val="22"/>
        </w:rPr>
        <w:t xml:space="preserve">(b) </w:t>
      </w:r>
      <w:r>
        <w:rPr>
          <w:rFonts w:ascii="Arial" w:cs="Arial" w:eastAsia="Arial" w:hAnsi="Arial"/>
          <w:sz w:val="22"/>
          <w:szCs w:val="22"/>
        </w:rPr>
        <w:t xml:space="preserve">On abandonment, the permittee shall complete decommissioning within 12 months.</w:t>
      </w:r>
    </w:p>
    <w:p>
      <w:pPr>
        <w:spacing w:after="20" w:before="20"/>
        <w:ind w:left="360" w:hanging="360"/>
      </w:pPr>
      <w:r>
        <w:rPr>
          <w:rFonts w:ascii="Arial" w:cs="Arial" w:eastAsia="Arial" w:hAnsi="Arial"/>
          <w:sz w:val="22"/>
          <w:szCs w:val="22"/>
        </w:rPr>
        <w:t xml:space="preserve">(c) </w:t>
      </w:r>
      <w:r>
        <w:rPr>
          <w:rFonts w:ascii="Arial" w:cs="Arial" w:eastAsia="Arial" w:hAnsi="Arial"/>
          <w:sz w:val="22"/>
          <w:szCs w:val="22"/>
        </w:rPr>
        <w:t xml:space="preserve">If the permittee fails to decommission, the City may draw on the financial assurance and complete decommissioning, and the permittee shall remain liable for any cost exceeding the financial assurance.</w:t>
      </w:r>
    </w:p>
    <w:p>
      <w:pPr>
        <w:pStyle w:val="Heading1"/>
        <w:spacing w:after="120" w:before="240"/>
      </w:pPr>
      <w:r>
        <w:rPr>
          <w:rFonts w:ascii="Arial" w:cs="Arial" w:eastAsia="Arial" w:hAnsi="Arial"/>
          <w:b/>
          <w:bCs/>
          <w:sz w:val="26"/>
          <w:szCs w:val="26"/>
        </w:rPr>
        <w:t xml:space="preserve">ARTICLE 8. SEVERABILITY</w:t>
      </w:r>
    </w:p>
    <w:p>
      <w:pPr>
        <w:spacing w:after="40" w:before="100"/>
      </w:pPr>
      <w:r>
        <w:rPr>
          <w:rFonts w:ascii="Arial" w:cs="Arial" w:eastAsia="Arial" w:hAnsi="Arial"/>
          <w:b/>
          <w:bCs/>
          <w:sz w:val="22"/>
          <w:szCs w:val="22"/>
        </w:rPr>
        <w:t xml:space="preserve">Sec. 8.01 Severability. </w:t>
      </w:r>
      <w:r>
        <w:rPr>
          <w:rFonts w:ascii="Arial" w:cs="Arial" w:eastAsia="Arial" w:hAnsi="Arial"/>
          <w:sz w:val="22"/>
          <w:szCs w:val="22"/>
        </w:rPr>
        <w:t xml:space="preserve">If any provision of this Ordinance, or its application to any person or circumstance, is held invalid, the invalidity shall not affect other provisions or applications that can be given effect without the invalid provision or application, and to this end the provisions of this Ordinance are severable.</w:t>
      </w:r>
    </w:p>
    <w:p>
      <w:pPr>
        <w:spacing w:after="40" w:before="100"/>
      </w:pPr>
      <w:r>
        <w:rPr>
          <w:rFonts w:ascii="Arial" w:cs="Arial" w:eastAsia="Arial" w:hAnsi="Arial"/>
          <w:b/>
          <w:bCs/>
          <w:sz w:val="22"/>
          <w:szCs w:val="22"/>
        </w:rPr>
        <w:t xml:space="preserve">Sec. 8.02 Conflicts. </w:t>
      </w:r>
      <w:r>
        <w:rPr>
          <w:rFonts w:ascii="Arial" w:cs="Arial" w:eastAsia="Arial" w:hAnsi="Arial"/>
          <w:sz w:val="22"/>
          <w:szCs w:val="22"/>
        </w:rPr>
        <w:t xml:space="preserve">If this Ordinance conflicts with another provision of the City Code, the more stringent provision shall govern to the extent permitted by law.</w:t>
      </w:r>
    </w:p>
    <w:p>
      <w:pPr>
        <w:spacing w:after="40" w:before="100"/>
      </w:pPr>
      <w:r>
        <w:rPr>
          <w:rFonts w:ascii="Arial" w:cs="Arial" w:eastAsia="Arial" w:hAnsi="Arial"/>
          <w:b/>
          <w:bCs/>
          <w:sz w:val="22"/>
          <w:szCs w:val="22"/>
        </w:rPr>
        <w:t xml:space="preserve">Sec. 8.03 Effective date. </w:t>
      </w:r>
      <w:r>
        <w:rPr>
          <w:rFonts w:ascii="Arial" w:cs="Arial" w:eastAsia="Arial" w:hAnsi="Arial"/>
          <w:sz w:val="22"/>
          <w:szCs w:val="22"/>
        </w:rPr>
        <w:t xml:space="preserve">This Ordinance shall take effect upon its adoption and publication as required by law.</w:t>
      </w:r>
    </w:p>
    <w:p>
      <w:r>
        <w:br w:type="page"/>
      </w:r>
    </w:p>
    <w:p>
      <w:pPr>
        <w:spacing w:after="60" w:before="40"/>
      </w:pPr>
      <w:r>
        <w:rPr>
          <w:rFonts w:ascii="Arial" w:cs="Arial" w:eastAsia="Arial" w:hAnsi="Arial"/>
          <w:b/>
          <w:bCs/>
          <w:i w:val="false"/>
          <w:iCs w:val="false"/>
          <w:sz w:val="24"/>
          <w:szCs w:val="24"/>
        </w:rPr>
        <w:t xml:space="preserve">SCHEDULE OF PROPOSED LOCAL POLICY VALUES (NOW FILLED ABOVE)</w:t>
      </w:r>
    </w:p>
    <w:p>
      <w:pPr>
        <w:spacing w:after="80" w:before="40"/>
      </w:pPr>
      <w:r>
        <w:rPr>
          <w:rFonts w:ascii="Arial" w:cs="Arial" w:eastAsia="Arial" w:hAnsi="Arial"/>
          <w:b w:val="false"/>
          <w:bCs w:val="false"/>
          <w:i/>
          <w:iCs/>
          <w:sz w:val="20"/>
          <w:szCs w:val="20"/>
        </w:rPr>
        <w:t xml:space="preserve">Each value below is the policy choice proposed by the drafter and now filled into the text above. The City Council may set any of these within the stated legal limits. Every operative standard tied to a federal, state, or industry source is already fixed in the text above.</w:t>
      </w:r>
    </w:p>
    <w:p>
      <w:pPr>
        <w:spacing w:after="20" w:before="20"/>
        <w:ind w:left="360" w:hanging="360"/>
      </w:pPr>
      <w:r>
        <w:rPr>
          <w:rFonts w:ascii="Arial" w:cs="Arial" w:eastAsia="Arial" w:hAnsi="Arial"/>
          <w:b/>
          <w:bCs/>
          <w:sz w:val="20"/>
          <w:szCs w:val="20"/>
        </w:rPr>
        <w:t xml:space="preserve">Item 1 (proposed: City hillside/ridgeline/scenic/open-space overlays) </w:t>
      </w:r>
      <w:r>
        <w:rPr>
          <w:rFonts w:ascii="Arial" w:cs="Arial" w:eastAsia="Arial" w:hAnsi="Arial"/>
          <w:b/>
          <w:bCs/>
          <w:sz w:val="20"/>
          <w:szCs w:val="20"/>
        </w:rPr>
        <w:t xml:space="preserve">(Sec. 2.04(g)) </w:t>
      </w:r>
      <w:r>
        <w:rPr>
          <w:rFonts w:ascii="Arial" w:cs="Arial" w:eastAsia="Arial" w:hAnsi="Arial"/>
          <w:sz w:val="20"/>
          <w:szCs w:val="20"/>
        </w:rPr>
        <w:t xml:space="preserve">Names of the City overlay districts to include in "environmentally sensitive area" (for example, Ridgeline Preservation or Hillside overlays).</w:t>
      </w:r>
    </w:p>
    <w:p>
      <w:pPr>
        <w:spacing w:after="20" w:before="20"/>
        <w:ind w:left="360" w:hanging="360"/>
      </w:pPr>
      <w:r>
        <w:rPr>
          <w:rFonts w:ascii="Arial" w:cs="Arial" w:eastAsia="Arial" w:hAnsi="Arial"/>
          <w:b/>
          <w:bCs/>
          <w:sz w:val="20"/>
          <w:szCs w:val="20"/>
        </w:rPr>
        <w:t xml:space="preserve">Item 2 (proposed: 1,000 feet) </w:t>
      </w:r>
      <w:r>
        <w:rPr>
          <w:rFonts w:ascii="Arial" w:cs="Arial" w:eastAsia="Arial" w:hAnsi="Arial"/>
          <w:b/>
          <w:bCs/>
          <w:sz w:val="20"/>
          <w:szCs w:val="20"/>
        </w:rPr>
        <w:t xml:space="preserve">(Sec. 3.03(b)) </w:t>
      </w:r>
      <w:r>
        <w:rPr>
          <w:rFonts w:ascii="Arial" w:cs="Arial" w:eastAsia="Arial" w:hAnsi="Arial"/>
          <w:sz w:val="20"/>
          <w:szCs w:val="20"/>
        </w:rPr>
        <w:t xml:space="preserve">Written-notice radius, in feet, to nearby property owners (Chapter 211 minimum is 200 feet; many cities use 300 to 500 feet).</w:t>
      </w:r>
    </w:p>
    <w:p>
      <w:pPr>
        <w:spacing w:after="20" w:before="20"/>
        <w:ind w:left="360" w:hanging="360"/>
      </w:pPr>
      <w:r>
        <w:rPr>
          <w:rFonts w:ascii="Arial" w:cs="Arial" w:eastAsia="Arial" w:hAnsi="Arial"/>
          <w:b/>
          <w:bCs/>
          <w:sz w:val="20"/>
          <w:szCs w:val="20"/>
        </w:rPr>
        <w:t xml:space="preserve">Item 3 (proposed: 250 acre-feet/year) </w:t>
      </w:r>
      <w:r>
        <w:rPr>
          <w:rFonts w:ascii="Arial" w:cs="Arial" w:eastAsia="Arial" w:hAnsi="Arial"/>
          <w:b/>
          <w:bCs/>
          <w:sz w:val="20"/>
          <w:szCs w:val="20"/>
        </w:rPr>
        <w:t xml:space="preserve">(Sec. 4.01(a)) </w:t>
      </w:r>
      <w:r>
        <w:rPr>
          <w:rFonts w:ascii="Arial" w:cs="Arial" w:eastAsia="Arial" w:hAnsi="Arial"/>
          <w:sz w:val="20"/>
          <w:szCs w:val="20"/>
        </w:rPr>
        <w:t xml:space="preserve">Annual potable water withdrawal cap, in acre-feet, per facility.</w:t>
      </w:r>
    </w:p>
    <w:p>
      <w:pPr>
        <w:spacing w:after="20" w:before="20"/>
        <w:ind w:left="360" w:hanging="360"/>
      </w:pPr>
      <w:r>
        <w:rPr>
          <w:rFonts w:ascii="Arial" w:cs="Arial" w:eastAsia="Arial" w:hAnsi="Arial"/>
          <w:b/>
          <w:bCs/>
          <w:sz w:val="20"/>
          <w:szCs w:val="20"/>
        </w:rPr>
        <w:t xml:space="preserve">Item 4 (proposed: 90 percent) </w:t>
      </w:r>
      <w:r>
        <w:rPr>
          <w:rFonts w:ascii="Arial" w:cs="Arial" w:eastAsia="Arial" w:hAnsi="Arial"/>
          <w:b/>
          <w:bCs/>
          <w:sz w:val="20"/>
          <w:szCs w:val="20"/>
        </w:rPr>
        <w:t xml:space="preserve">(Sec. 4.01(a)) </w:t>
      </w:r>
      <w:r>
        <w:rPr>
          <w:rFonts w:ascii="Arial" w:cs="Arial" w:eastAsia="Arial" w:hAnsi="Arial"/>
          <w:sz w:val="20"/>
          <w:szCs w:val="20"/>
        </w:rPr>
        <w:t xml:space="preserve">Minimum share of cooling water that shall be supplied from reclaimed or non-potable sources, as a percent.</w:t>
      </w:r>
    </w:p>
    <w:p>
      <w:pPr>
        <w:spacing w:after="20" w:before="20"/>
        <w:ind w:left="360" w:hanging="360"/>
      </w:pPr>
      <w:r>
        <w:rPr>
          <w:rFonts w:ascii="Arial" w:cs="Arial" w:eastAsia="Arial" w:hAnsi="Arial"/>
          <w:b/>
          <w:bCs/>
          <w:sz w:val="20"/>
          <w:szCs w:val="20"/>
        </w:rPr>
        <w:t xml:space="preserve">Item 5 (proposed: 30 days) </w:t>
      </w:r>
      <w:r>
        <w:rPr>
          <w:rFonts w:ascii="Arial" w:cs="Arial" w:eastAsia="Arial" w:hAnsi="Arial"/>
          <w:b/>
          <w:bCs/>
          <w:sz w:val="20"/>
          <w:szCs w:val="20"/>
        </w:rPr>
        <w:t xml:space="preserve">(Sec. 4.01(c)) </w:t>
      </w:r>
      <w:r>
        <w:rPr>
          <w:rFonts w:ascii="Arial" w:cs="Arial" w:eastAsia="Arial" w:hAnsi="Arial"/>
          <w:sz w:val="20"/>
          <w:szCs w:val="20"/>
        </w:rPr>
        <w:t xml:space="preserve">Days of continued potable exceedance that trigger revocation.</w:t>
      </w:r>
    </w:p>
    <w:p>
      <w:pPr>
        <w:spacing w:after="20" w:before="20"/>
        <w:ind w:left="360" w:hanging="360"/>
      </w:pPr>
      <w:r>
        <w:rPr>
          <w:rFonts w:ascii="Arial" w:cs="Arial" w:eastAsia="Arial" w:hAnsi="Arial"/>
          <w:b/>
          <w:bCs/>
          <w:sz w:val="20"/>
          <w:szCs w:val="20"/>
        </w:rPr>
        <w:t xml:space="preserve">Item 6 (proposed: 30 days) </w:t>
      </w:r>
      <w:r>
        <w:rPr>
          <w:rFonts w:ascii="Arial" w:cs="Arial" w:eastAsia="Arial" w:hAnsi="Arial"/>
          <w:b/>
          <w:bCs/>
          <w:sz w:val="20"/>
          <w:szCs w:val="20"/>
        </w:rPr>
        <w:t xml:space="preserve">(Sec. 4.02(e)) </w:t>
      </w:r>
      <w:r>
        <w:rPr>
          <w:rFonts w:ascii="Arial" w:cs="Arial" w:eastAsia="Arial" w:hAnsi="Arial"/>
          <w:sz w:val="20"/>
          <w:szCs w:val="20"/>
        </w:rPr>
        <w:t xml:space="preserve">Cure period, in days, for a power quality exceedance.</w:t>
      </w:r>
    </w:p>
    <w:p>
      <w:pPr>
        <w:spacing w:after="20" w:before="20"/>
        <w:ind w:left="360" w:hanging="360"/>
      </w:pPr>
      <w:r>
        <w:rPr>
          <w:rFonts w:ascii="Arial" w:cs="Arial" w:eastAsia="Arial" w:hAnsi="Arial"/>
          <w:b/>
          <w:bCs/>
          <w:sz w:val="20"/>
          <w:szCs w:val="20"/>
        </w:rPr>
        <w:t xml:space="preserve">Item 7 (proposed: 50 hours/engine/year) </w:t>
      </w:r>
      <w:r>
        <w:rPr>
          <w:rFonts w:ascii="Arial" w:cs="Arial" w:eastAsia="Arial" w:hAnsi="Arial"/>
          <w:b/>
          <w:bCs/>
          <w:sz w:val="20"/>
          <w:szCs w:val="20"/>
        </w:rPr>
        <w:t xml:space="preserve">(Sec. 4.03(c)) </w:t>
      </w:r>
      <w:r>
        <w:rPr>
          <w:rFonts w:ascii="Arial" w:cs="Arial" w:eastAsia="Arial" w:hAnsi="Arial"/>
          <w:sz w:val="20"/>
          <w:szCs w:val="20"/>
        </w:rPr>
        <w:t xml:space="preserve">Non-emergency generator operating hours per engine per year (federal emergency-engine practice is 100 hours per year).</w:t>
      </w:r>
    </w:p>
    <w:p>
      <w:pPr>
        <w:spacing w:after="20" w:before="20"/>
        <w:ind w:left="360" w:hanging="360"/>
      </w:pPr>
      <w:r>
        <w:rPr>
          <w:rFonts w:ascii="Arial" w:cs="Arial" w:eastAsia="Arial" w:hAnsi="Arial"/>
          <w:b/>
          <w:bCs/>
          <w:sz w:val="20"/>
          <w:szCs w:val="20"/>
        </w:rPr>
        <w:t xml:space="preserve">Item 8 (proposed: 55 dBA day) </w:t>
      </w:r>
      <w:r>
        <w:rPr>
          <w:rFonts w:ascii="Arial" w:cs="Arial" w:eastAsia="Arial" w:hAnsi="Arial"/>
          <w:b/>
          <w:bCs/>
          <w:sz w:val="20"/>
          <w:szCs w:val="20"/>
        </w:rPr>
        <w:t xml:space="preserve">(Sec. 4.04(a)) </w:t>
      </w:r>
      <w:r>
        <w:rPr>
          <w:rFonts w:ascii="Arial" w:cs="Arial" w:eastAsia="Arial" w:hAnsi="Arial"/>
          <w:sz w:val="20"/>
          <w:szCs w:val="20"/>
        </w:rPr>
        <w:t xml:space="preserve">Daytime sound limit, in dBA, at the property line.</w:t>
      </w:r>
    </w:p>
    <w:p>
      <w:pPr>
        <w:spacing w:after="20" w:before="20"/>
        <w:ind w:left="360" w:hanging="360"/>
      </w:pPr>
      <w:r>
        <w:rPr>
          <w:rFonts w:ascii="Arial" w:cs="Arial" w:eastAsia="Arial" w:hAnsi="Arial"/>
          <w:b/>
          <w:bCs/>
          <w:sz w:val="20"/>
          <w:szCs w:val="20"/>
        </w:rPr>
        <w:t xml:space="preserve">Item 9 (proposed: 50 dBA night) </w:t>
      </w:r>
      <w:r>
        <w:rPr>
          <w:rFonts w:ascii="Arial" w:cs="Arial" w:eastAsia="Arial" w:hAnsi="Arial"/>
          <w:b/>
          <w:bCs/>
          <w:sz w:val="20"/>
          <w:szCs w:val="20"/>
        </w:rPr>
        <w:t xml:space="preserve">(Sec. 4.04(a)) </w:t>
      </w:r>
      <w:r>
        <w:rPr>
          <w:rFonts w:ascii="Arial" w:cs="Arial" w:eastAsia="Arial" w:hAnsi="Arial"/>
          <w:sz w:val="20"/>
          <w:szCs w:val="20"/>
        </w:rPr>
        <w:t xml:space="preserve">Nighttime sound limit, in dBA, at the property line.</w:t>
      </w:r>
    </w:p>
    <w:p>
      <w:pPr>
        <w:spacing w:after="20" w:before="20"/>
        <w:ind w:left="360" w:hanging="360"/>
      </w:pPr>
      <w:r>
        <w:rPr>
          <w:rFonts w:ascii="Arial" w:cs="Arial" w:eastAsia="Arial" w:hAnsi="Arial"/>
          <w:b/>
          <w:bCs/>
          <w:sz w:val="20"/>
          <w:szCs w:val="20"/>
        </w:rPr>
        <w:t xml:space="preserve">Item 10 (proposed: 7 years) </w:t>
      </w:r>
      <w:r>
        <w:rPr>
          <w:rFonts w:ascii="Arial" w:cs="Arial" w:eastAsia="Arial" w:hAnsi="Arial"/>
          <w:b/>
          <w:bCs/>
          <w:sz w:val="20"/>
          <w:szCs w:val="20"/>
        </w:rPr>
        <w:t xml:space="preserve">(Sec. 5.01(b)) </w:t>
      </w:r>
      <w:r>
        <w:rPr>
          <w:rFonts w:ascii="Arial" w:cs="Arial" w:eastAsia="Arial" w:hAnsi="Arial"/>
          <w:sz w:val="20"/>
          <w:szCs w:val="20"/>
        </w:rPr>
        <w:t xml:space="preserve">Metering-data retention period, in years.</w:t>
      </w:r>
    </w:p>
    <w:p>
      <w:pPr>
        <w:spacing w:after="20" w:before="20"/>
        <w:ind w:left="360" w:hanging="360"/>
      </w:pPr>
      <w:r>
        <w:rPr>
          <w:rFonts w:ascii="Arial" w:cs="Arial" w:eastAsia="Arial" w:hAnsi="Arial"/>
          <w:b/>
          <w:bCs/>
          <w:sz w:val="20"/>
          <w:szCs w:val="20"/>
        </w:rPr>
        <w:t xml:space="preserve">Item 11 (penalty schedule adopted as shown: $500 / $1,000 / $2,000 per day) </w:t>
      </w:r>
      <w:r>
        <w:rPr>
          <w:rFonts w:ascii="Arial" w:cs="Arial" w:eastAsia="Arial" w:hAnsi="Arial"/>
          <w:b/>
          <w:bCs/>
          <w:sz w:val="20"/>
          <w:szCs w:val="20"/>
        </w:rPr>
        <w:t xml:space="preserve">(Sec. 6.02) </w:t>
      </w:r>
      <w:r>
        <w:rPr>
          <w:rFonts w:ascii="Arial" w:cs="Arial" w:eastAsia="Arial" w:hAnsi="Arial"/>
          <w:sz w:val="20"/>
          <w:szCs w:val="20"/>
        </w:rPr>
        <w:t xml:space="preserve">Confirm the per-day penalty amounts; any amount up to $2,000 per day per violation is authorized by Tex. Local Gov't Code Sec. 54.001(b).</w:t>
      </w:r>
    </w:p>
    <w:p>
      <w:pPr>
        <w:spacing w:after="20" w:before="20"/>
        <w:ind w:left="360" w:hanging="360"/>
      </w:pPr>
      <w:r>
        <w:rPr>
          <w:rFonts w:ascii="Arial" w:cs="Arial" w:eastAsia="Arial" w:hAnsi="Arial"/>
          <w:b/>
          <w:bCs/>
          <w:sz w:val="20"/>
          <w:szCs w:val="20"/>
        </w:rPr>
        <w:t xml:space="preserve">Item 12 (proposed: 30 days) </w:t>
      </w:r>
      <w:r>
        <w:rPr>
          <w:rFonts w:ascii="Arial" w:cs="Arial" w:eastAsia="Arial" w:hAnsi="Arial"/>
          <w:b/>
          <w:bCs/>
          <w:sz w:val="20"/>
          <w:szCs w:val="20"/>
        </w:rPr>
        <w:t xml:space="preserve">(Sec. 6.04) </w:t>
      </w:r>
      <w:r>
        <w:rPr>
          <w:rFonts w:ascii="Arial" w:cs="Arial" w:eastAsia="Arial" w:hAnsi="Arial"/>
          <w:sz w:val="20"/>
          <w:szCs w:val="20"/>
        </w:rPr>
        <w:t xml:space="preserve">Cure period, in days, after written notice before revocation.</w:t>
      </w:r>
    </w:p>
    <w:p>
      <w:pPr>
        <w:spacing w:after="20" w:before="20"/>
        <w:ind w:left="360" w:hanging="360"/>
      </w:pPr>
      <w:r>
        <w:rPr>
          <w:rFonts w:ascii="Arial" w:cs="Arial" w:eastAsia="Arial" w:hAnsi="Arial"/>
          <w:b/>
          <w:bCs/>
          <w:sz w:val="20"/>
          <w:szCs w:val="20"/>
        </w:rPr>
        <w:t xml:space="preserve">Item 13 (proposed: ENR Construction Cost Index) </w:t>
      </w:r>
      <w:r>
        <w:rPr>
          <w:rFonts w:ascii="Arial" w:cs="Arial" w:eastAsia="Arial" w:hAnsi="Arial"/>
          <w:b/>
          <w:bCs/>
          <w:sz w:val="20"/>
          <w:szCs w:val="20"/>
        </w:rPr>
        <w:t xml:space="preserve">(Sec. 7.03(b)) </w:t>
      </w:r>
      <w:r>
        <w:rPr>
          <w:rFonts w:ascii="Arial" w:cs="Arial" w:eastAsia="Arial" w:hAnsi="Arial"/>
          <w:sz w:val="20"/>
          <w:szCs w:val="20"/>
        </w:rPr>
        <w:t xml:space="preserve">Inflation index for adjusting the financial assurance amount.</w:t>
      </w:r>
    </w:p>
    <w:p>
      <w:pPr>
        <w:spacing w:after="20" w:before="20"/>
        <w:ind w:left="360" w:hanging="360"/>
      </w:pPr>
      <w:r>
        <w:rPr>
          <w:rFonts w:ascii="Arial" w:cs="Arial" w:eastAsia="Arial" w:hAnsi="Arial"/>
          <w:b/>
          <w:bCs/>
          <w:sz w:val="20"/>
          <w:szCs w:val="20"/>
        </w:rPr>
        <w:t xml:space="preserve">Item 14 (proposed: 12 months) </w:t>
      </w:r>
      <w:r>
        <w:rPr>
          <w:rFonts w:ascii="Arial" w:cs="Arial" w:eastAsia="Arial" w:hAnsi="Arial"/>
          <w:b/>
          <w:bCs/>
          <w:sz w:val="20"/>
          <w:szCs w:val="20"/>
        </w:rPr>
        <w:t xml:space="preserve">(Sec. 7.04(a)) </w:t>
      </w:r>
      <w:r>
        <w:rPr>
          <w:rFonts w:ascii="Arial" w:cs="Arial" w:eastAsia="Arial" w:hAnsi="Arial"/>
          <w:sz w:val="20"/>
          <w:szCs w:val="20"/>
        </w:rPr>
        <w:t xml:space="preserve">Months of ceased operation that constitute abandonment.</w:t>
      </w:r>
    </w:p>
    <w:p>
      <w:pPr>
        <w:spacing w:after="20" w:before="20"/>
        <w:ind w:left="360" w:hanging="360"/>
      </w:pPr>
      <w:r>
        <w:rPr>
          <w:rFonts w:ascii="Arial" w:cs="Arial" w:eastAsia="Arial" w:hAnsi="Arial"/>
          <w:b/>
          <w:bCs/>
          <w:sz w:val="20"/>
          <w:szCs w:val="20"/>
        </w:rPr>
        <w:t xml:space="preserve">Item 15 (proposed: 12 months) </w:t>
      </w:r>
      <w:r>
        <w:rPr>
          <w:rFonts w:ascii="Arial" w:cs="Arial" w:eastAsia="Arial" w:hAnsi="Arial"/>
          <w:b/>
          <w:bCs/>
          <w:sz w:val="20"/>
          <w:szCs w:val="20"/>
        </w:rPr>
        <w:t xml:space="preserve">(Sec. 7.04(b)) </w:t>
      </w:r>
      <w:r>
        <w:rPr>
          <w:rFonts w:ascii="Arial" w:cs="Arial" w:eastAsia="Arial" w:hAnsi="Arial"/>
          <w:sz w:val="20"/>
          <w:szCs w:val="20"/>
        </w:rPr>
        <w:t xml:space="preserve">Months to complete decommissioning after abandonment.</w:t>
      </w:r>
    </w:p>
    <w:p>
      <w:pPr>
        <w:spacing w:after="20" w:before="20"/>
        <w:ind w:left="360" w:hanging="360"/>
      </w:pPr>
      <w:r>
        <w:rPr>
          <w:rFonts w:ascii="Arial" w:cs="Arial" w:eastAsia="Arial" w:hAnsi="Arial"/>
          <w:b/>
          <w:bCs/>
          <w:sz w:val="20"/>
          <w:szCs w:val="20"/>
        </w:rPr>
        <w:t xml:space="preserve">Item 16 (proposed: upon adoption and publication) </w:t>
      </w:r>
      <w:r>
        <w:rPr>
          <w:rFonts w:ascii="Arial" w:cs="Arial" w:eastAsia="Arial" w:hAnsi="Arial"/>
          <w:b/>
          <w:bCs/>
          <w:sz w:val="20"/>
          <w:szCs w:val="20"/>
        </w:rPr>
        <w:t xml:space="preserve">(Sec. 8.03) </w:t>
      </w:r>
      <w:r>
        <w:rPr>
          <w:rFonts w:ascii="Arial" w:cs="Arial" w:eastAsia="Arial" w:hAnsi="Arial"/>
          <w:sz w:val="20"/>
          <w:szCs w:val="20"/>
        </w:rPr>
        <w:t xml:space="preserve">Effective date of the Ordinance.</w:t>
      </w:r>
    </w:p>
    <w:p>
      <w:r>
        <w:br w:type="page"/>
      </w:r>
    </w:p>
    <w:p>
      <w:pPr>
        <w:spacing w:after="60" w:before="40"/>
      </w:pPr>
      <w:r>
        <w:rPr>
          <w:rFonts w:ascii="Arial" w:cs="Arial" w:eastAsia="Arial" w:hAnsi="Arial"/>
          <w:b/>
          <w:bCs/>
          <w:i w:val="false"/>
          <w:iCs w:val="false"/>
          <w:sz w:val="24"/>
          <w:szCs w:val="24"/>
        </w:rPr>
        <w:t xml:space="preserve">EVIDENCE APPENDIX: FINDINGS AND SOURCES</w:t>
      </w:r>
    </w:p>
    <w:p>
      <w:pPr>
        <w:spacing w:after="80" w:before="40"/>
      </w:pPr>
      <w:r>
        <w:rPr>
          <w:rFonts w:ascii="Arial" w:cs="Arial" w:eastAsia="Arial" w:hAnsi="Arial"/>
          <w:b w:val="false"/>
          <w:bCs w:val="false"/>
          <w:i/>
          <w:iCs/>
          <w:sz w:val="20"/>
          <w:szCs w:val="20"/>
        </w:rPr>
        <w:t xml:space="preserve">This appendix summarizes the evidentiary basis for the Findings. The full record is compiled in the companion Evidence Record (Celaya Solutions Research LLC, June 2026). Citations to El Paso area facilities are offered as the documented regional record supporting generally applicable standards and do not direct this Ordinance at any single project.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60"/>
        <w:gridCol w:w="4500"/>
      </w:tblGrid>
      <w:tr>
        <w:tc>
          <w:tcPr>
            <w:tcW w:type="dxa" w:w="4860"/>
            <w:tcBorders>
              <w:top w:val="single" w:color="999999" w:sz="1"/>
              <w:left w:val="single" w:color="999999" w:sz="1"/>
              <w:bottom w:val="single" w:color="999999" w:sz="1"/>
              <w:right w:val="single" w:color="999999" w:sz="1"/>
            </w:tcBorders>
            <w:shd w:fill="D9D9D9" w:val="clear"/>
            <w:tcMar>
              <w:top w:type="dxa" w:w="50"/>
              <w:left w:type="dxa" w:w="90"/>
              <w:bottom w:type="dxa" w:w="50"/>
              <w:right w:type="dxa" w:w="90"/>
            </w:tcMar>
          </w:tcPr>
          <w:p>
            <w:r>
              <w:rPr>
                <w:rFonts w:ascii="Arial" w:cs="Arial" w:eastAsia="Arial" w:hAnsi="Arial"/>
                <w:b/>
                <w:bCs/>
                <w:sz w:val="20"/>
                <w:szCs w:val="20"/>
              </w:rPr>
              <w:t xml:space="preserve">Finding</w:t>
            </w:r>
          </w:p>
        </w:tc>
        <w:tc>
          <w:tcPr>
            <w:tcW w:type="dxa" w:w="4500"/>
            <w:tcBorders>
              <w:top w:val="single" w:color="999999" w:sz="1"/>
              <w:left w:val="single" w:color="999999" w:sz="1"/>
              <w:bottom w:val="single" w:color="999999" w:sz="1"/>
              <w:right w:val="single" w:color="999999" w:sz="1"/>
            </w:tcBorders>
            <w:shd w:fill="D9D9D9" w:val="clear"/>
            <w:tcMar>
              <w:top w:type="dxa" w:w="50"/>
              <w:left w:type="dxa" w:w="90"/>
              <w:bottom w:type="dxa" w:w="50"/>
              <w:right w:type="dxa" w:w="90"/>
            </w:tcMar>
          </w:tcPr>
          <w:p>
            <w:r>
              <w:rPr>
                <w:rFonts w:ascii="Arial" w:cs="Arial" w:eastAsia="Arial" w:hAnsi="Arial"/>
                <w:b/>
                <w:bCs/>
                <w:sz w:val="20"/>
                <w:szCs w:val="20"/>
              </w:rPr>
              <w:t xml:space="preserve">Source</w:t>
            </w:r>
          </w:p>
        </w:tc>
      </w:tr>
      <w:tr>
        <w:tc>
          <w:tcPr>
            <w:tcW w:type="dxa" w:w="486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20"/>
                <w:szCs w:val="20"/>
              </w:rPr>
              <w:t xml:space="preserve">Hueco and Mesilla Bolson withdrawn faster than recharge; shared regional basin.</w:t>
            </w:r>
          </w:p>
        </w:tc>
        <w:tc>
          <w:tcPr>
            <w:tcW w:type="dxa" w:w="4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20"/>
                <w:szCs w:val="20"/>
              </w:rPr>
              <w:t xml:space="preserve">El Paso Water, Our Aquifers; Texas Tribune (Apr. 2025); Bureau of Reclamation, Rio Grande Project.</w:t>
            </w:r>
          </w:p>
        </w:tc>
      </w:tr>
      <w:tr>
        <w:tc>
          <w:tcPr>
            <w:tcW w:type="dxa" w:w="486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20"/>
                <w:szCs w:val="20"/>
              </w:rPr>
              <w:t xml:space="preserve">About 105 MGD demand; about 8.71 MGD surplus; combined data-center draw about 17.9 percent of surplus; supply figure relied upon never identified.</w:t>
            </w:r>
          </w:p>
        </w:tc>
        <w:tc>
          <w:tcPr>
            <w:tcW w:type="dxa" w:w="4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20"/>
                <w:szCs w:val="20"/>
              </w:rPr>
              <w:t xml:space="preserve">Celaya Solutions water analysis (Feb. 2026); Texas Tribune; Bureau of Reclamation; El Paso Water Conservation Plan (2024).</w:t>
            </w:r>
          </w:p>
        </w:tc>
      </w:tr>
      <w:tr>
        <w:tc>
          <w:tcPr>
            <w:tcW w:type="dxa" w:w="486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20"/>
                <w:szCs w:val="20"/>
              </w:rPr>
              <w:t xml:space="preserve">Meta facility in Northeast El Paso authorized to up to 1,500,000 gpd potable and about 100 MW of grid load.</w:t>
            </w:r>
          </w:p>
        </w:tc>
        <w:tc>
          <w:tcPr>
            <w:tcW w:type="dxa" w:w="4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20"/>
                <w:szCs w:val="20"/>
              </w:rPr>
              <w:t xml:space="preserve">El Paso Matters (Oct. 15 and Dec. 2, 2025); Texas Standard; Celaya load study (CS-INST-007).</w:t>
            </w:r>
          </w:p>
        </w:tc>
      </w:tr>
      <w:tr>
        <w:tc>
          <w:tcPr>
            <w:tcW w:type="dxa" w:w="486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20"/>
                <w:szCs w:val="20"/>
              </w:rPr>
              <w:t xml:space="preserve">Wiwynn facility in Socorro about 150 MW of grid load.</w:t>
            </w:r>
          </w:p>
        </w:tc>
        <w:tc>
          <w:tcPr>
            <w:tcW w:type="dxa" w:w="4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20"/>
                <w:szCs w:val="20"/>
              </w:rPr>
              <w:t xml:space="preserve">El Paso Matters (Mar. 2025); Celaya load study (CS-INST-007).</w:t>
            </w:r>
          </w:p>
        </w:tc>
      </w:tr>
      <w:tr>
        <w:tc>
          <w:tcPr>
            <w:tcW w:type="dxa" w:w="486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20"/>
                <w:szCs w:val="20"/>
              </w:rPr>
              <w:t xml:space="preserve">Project Jupiter water claims unsupported by technical data; no cumulative regional water analysis; CRRUA capacity not analyzed.</w:t>
            </w:r>
          </w:p>
        </w:tc>
        <w:tc>
          <w:tcPr>
            <w:tcW w:type="dxa" w:w="4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20"/>
                <w:szCs w:val="20"/>
              </w:rPr>
              <w:t xml:space="preserve">Petition, Case D-307-CV-2025-02766; Project Jupiter Fully Executed MOU (Sept. 24, 2025).</w:t>
            </w:r>
          </w:p>
        </w:tc>
      </w:tr>
      <w:tr>
        <w:tc>
          <w:tcPr>
            <w:tcW w:type="dxa" w:w="486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20"/>
                <w:szCs w:val="20"/>
              </w:rPr>
              <w:t xml:space="preserve">Project Jupiter microgrid up to 2,880 MW, 8,760 hours per year; about 499 tons NOx and millions of tons of greenhouse gases per year.</w:t>
            </w:r>
          </w:p>
        </w:tc>
        <w:tc>
          <w:tcPr>
            <w:tcW w:type="dxa" w:w="4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20"/>
                <w:szCs w:val="20"/>
              </w:rPr>
              <w:t xml:space="preserve">Petition, Case D-307-CV-2025-02766; NMED air-permit applications (D1-2025-AR-0020 and D1-2025-AR-0021); Celaya load study (CS-INST-007).</w:t>
            </w:r>
          </w:p>
        </w:tc>
      </w:tr>
      <w:tr>
        <w:tc>
          <w:tcPr>
            <w:tcW w:type="dxa" w:w="486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20"/>
                <w:szCs w:val="20"/>
              </w:rPr>
              <w:t xml:space="preserve">New Mexico industrial revenue bonds authorized up to $165 billion; 50 percent gross-receipts-tax share for ten years.</w:t>
            </w:r>
          </w:p>
        </w:tc>
        <w:tc>
          <w:tcPr>
            <w:tcW w:type="dxa" w:w="4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20"/>
                <w:szCs w:val="20"/>
              </w:rPr>
              <w:t xml:space="preserve">Jupiter IRB Ordinances and bond documents; LEDA Ordinance No. 368-2025.</w:t>
            </w:r>
          </w:p>
        </w:tc>
      </w:tr>
      <w:tr>
        <w:tc>
          <w:tcPr>
            <w:tcW w:type="dxa" w:w="486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20"/>
                <w:szCs w:val="20"/>
              </w:rPr>
              <w:t xml:space="preserve">El Paso Electric peak 2,173 MW against about 2,300 MW capacity; up to 1,650 MW large-load need; $3.5B upgrades and a $22+/month rate increase proposed.</w:t>
            </w:r>
          </w:p>
        </w:tc>
        <w:tc>
          <w:tcPr>
            <w:tcW w:type="dxa" w:w="4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20"/>
                <w:szCs w:val="20"/>
              </w:rPr>
              <w:t xml:space="preserve">Celaya load study (CS-INST-007), citing EPE 2024 System Expansion Plan, EPE All-Source RFP (July 2025), Fitch, and El Paso Matters.</w:t>
            </w:r>
          </w:p>
        </w:tc>
      </w:tr>
      <w:tr>
        <w:tc>
          <w:tcPr>
            <w:tcW w:type="dxa" w:w="486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20"/>
                <w:szCs w:val="20"/>
              </w:rPr>
              <w:t xml:space="preserve">El Paso is non-ERCOT, so Senate Bill 6 (2025) large-load protections do not reach it.</w:t>
            </w:r>
          </w:p>
        </w:tc>
        <w:tc>
          <w:tcPr>
            <w:tcW w:type="dxa" w:w="4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20"/>
                <w:szCs w:val="20"/>
              </w:rPr>
              <w:t xml:space="preserve">PUCT rule 16 TAC 25.194; published SB 6 analyses (Greenberg Traurig; Perkins Coie); WECC and El Paso Electric.</w:t>
            </w:r>
          </w:p>
        </w:tc>
      </w:tr>
      <w:tr>
        <w:tc>
          <w:tcPr>
            <w:tcW w:type="dxa" w:w="486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20"/>
                <w:szCs w:val="20"/>
              </w:rPr>
              <w:t xml:space="preserve">No mechanism requires regional data centers to disclose or mitigate cumulative impact.</w:t>
            </w:r>
          </w:p>
        </w:tc>
        <w:tc>
          <w:tcPr>
            <w:tcW w:type="dxa" w:w="4500"/>
            <w:tcBorders>
              <w:top w:val="single" w:color="999999" w:sz="1"/>
              <w:left w:val="single" w:color="999999" w:sz="1"/>
              <w:bottom w:val="single" w:color="999999" w:sz="1"/>
              <w:right w:val="single" w:color="999999" w:sz="1"/>
            </w:tcBorders>
            <w:tcMar>
              <w:top w:type="dxa" w:w="50"/>
              <w:left w:type="dxa" w:w="90"/>
              <w:bottom w:type="dxa" w:w="50"/>
              <w:right w:type="dxa" w:w="90"/>
            </w:tcMar>
          </w:tcPr>
          <w:p>
            <w:r>
              <w:rPr>
                <w:rFonts w:ascii="Arial" w:cs="Arial" w:eastAsia="Arial" w:hAnsi="Arial"/>
                <w:b w:val="false"/>
                <w:bCs w:val="false"/>
                <w:sz w:val="20"/>
                <w:szCs w:val="20"/>
              </w:rPr>
              <w:t xml:space="preserve">Project Jupiter record; El Paso staff Data Center Policy Framework (Berjano, May 2026).</w:t>
            </w:r>
          </w:p>
        </w:tc>
      </w:tr>
    </w:tbl>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10080"/>
      </w:tabs>
    </w:pPr>
    <w:r>
      <w:rPr>
        <w:rFonts w:ascii="Arial" w:cs="Arial" w:eastAsia="Arial" w:hAnsi="Arial"/>
        <w:sz w:val="16"/>
        <w:szCs w:val="16"/>
      </w:rPr>
      <w:t xml:space="preserve">City of El Paso Data Center Ordinance (Draft) | Celaya Solutions Research LLC</w:t>
    </w:r>
    <w:r>
      <w:rPr>
        <w:rFonts w:ascii="Arial" w:cs="Arial" w:eastAsia="Arial" w:hAnsi="Arial"/>
        <w:sz w:val="16"/>
        <w:szCs w:val="16"/>
      </w:rPr>
      <w:t xml:space="preserve">	Page </w:t>
    </w:r>
    <w:r>
      <w:rPr>
        <w:rFonts w:ascii="Arial" w:cs="Arial" w:eastAsia="Arial" w:hAnsi="Arial"/>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El Paso Data Center Ordinance (Draft)</dc:title>
  <dc:creator>Christopher Celaya, Celaya Solutions</dc:creator>
  <dc:description>Draft ordinance regulating hyperscale data centers in El Paso, Texas.</dc:description>
  <cp:lastModifiedBy>Un-named</cp:lastModifiedBy>
  <cp:revision>1</cp:revision>
  <dcterms:created xsi:type="dcterms:W3CDTF">2026-06-06T23:50:00.205Z</dcterms:created>
  <dcterms:modified xsi:type="dcterms:W3CDTF">2026-06-06T23:50:00.206Z</dcterms:modified>
</cp:coreProperties>
</file>

<file path=docProps/custom.xml><?xml version="1.0" encoding="utf-8"?>
<Properties xmlns="http://schemas.openxmlformats.org/officeDocument/2006/custom-properties" xmlns:vt="http://schemas.openxmlformats.org/officeDocument/2006/docPropsVTypes"/>
</file>