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sz w:val="26"/>
          <w:szCs w:val="26"/>
        </w:rPr>
        <w:t xml:space="preserve">CROSSWALK: CELAYA ORDINANCE TO BERJANO FRAMEWORK</w:t>
      </w:r>
    </w:p>
    <w:p>
      <w:pPr>
        <w:spacing w:after="120"/>
        <w:jc w:val="center"/>
      </w:pPr>
      <w:r>
        <w:rPr>
          <w:rFonts w:ascii="Arial" w:cs="Arial" w:eastAsia="Arial" w:hAnsi="Arial"/>
          <w:i/>
          <w:iCs/>
          <w:sz w:val="18"/>
          <w:szCs w:val="18"/>
        </w:rPr>
        <w:t xml:space="preserve">City of El Paso Data Center Ordinance (Draft), Christopher Celaya, Celaya Solutions, June 2026. Lay each row beside the cited section of the staff Data Center Policy Framework (Berjano, May 22, 2026) to see exactly what to swap.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750"/>
        <w:gridCol w:w="1850"/>
        <w:gridCol w:w="6480"/>
      </w:tblGrid>
      <w:tr>
        <w:tc>
          <w:tcPr>
            <w:tcW w:type="dxa" w:w="175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My Article</w:t>
            </w:r>
          </w:p>
        </w:tc>
        <w:tc>
          <w:tcPr>
            <w:tcW w:type="dxa" w:w="185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Replaces (Berjano draft)</w:t>
            </w:r>
          </w:p>
        </w:tc>
        <w:tc>
          <w:tcPr>
            <w:tcW w:type="dxa" w:w="6480"/>
            <w:tcBorders>
              <w:top w:val="single" w:color="999999" w:sz="1"/>
              <w:left w:val="single" w:color="999999" w:sz="1"/>
              <w:bottom w:val="single" w:color="999999" w:sz="1"/>
              <w:right w:val="single" w:color="999999" w:sz="1"/>
            </w:tcBorders>
            <w:shd w:fill="1F3864" w:val="clear"/>
            <w:tcMar>
              <w:top w:type="dxa" w:w="50"/>
              <w:left w:type="dxa" w:w="90"/>
              <w:bottom w:type="dxa" w:w="50"/>
              <w:right w:type="dxa" w:w="90"/>
            </w:tcMar>
          </w:tcPr>
          <w:p>
            <w:r>
              <w:rPr>
                <w:rFonts w:ascii="Arial" w:cs="Arial" w:eastAsia="Arial" w:hAnsi="Arial"/>
                <w:b/>
                <w:bCs/>
                <w:color w:val="FFFFFF"/>
                <w:sz w:val="18"/>
                <w:szCs w:val="18"/>
              </w:rPr>
              <w:t xml:space="preserve">Why mine is enforceable and the Berjano draft is not</w:t>
            </w:r>
          </w:p>
        </w:tc>
      </w:tr>
      <w:tr>
        <w:tc>
          <w:tcPr>
            <w:tcW w:type="dxa" w:w="17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Art. 1 Purpose and Intent</w:t>
            </w:r>
          </w:p>
        </w:tc>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Sec. 1 Introduction; Sec. 2 Executive Summary (blank)</w:t>
            </w:r>
          </w:p>
        </w:tc>
        <w:tc>
          <w:tcPr>
            <w:tcW w:type="dxa" w:w="648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Fills the blank Executive Summary and converts aspirational goals into a binding purpose with a more-stringent-governs rule. The Berjano draft states intentions; Article 1 states an enforceable mandate.</w:t>
            </w:r>
          </w:p>
        </w:tc>
      </w:tr>
      <w:tr>
        <w:tc>
          <w:tcPr>
            <w:tcW w:type="dxa" w:w="17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Art. 2 Definitions</w:t>
            </w:r>
          </w:p>
        </w:tc>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Sec. 3.1 (definition bullet: size, energy, PUE/WUE)</w:t>
            </w:r>
          </w:p>
        </w:tc>
        <w:tc>
          <w:tcPr>
            <w:tcW w:type="dxa" w:w="648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Sets a bright-line nameplate trigger of 40 MW IT load or 100 MW total service. The Berjano draft would define hyperscale partly by PUE and WUE, which are operating ratios a facility controls and games; Article 2 makes them reported metrics only, so classification cannot be evaded.</w:t>
            </w:r>
          </w:p>
        </w:tc>
      </w:tr>
      <w:tr>
        <w:tc>
          <w:tcPr>
            <w:tcW w:type="dxa" w:w="17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Art. 3 Applicability and Zoning</w:t>
            </w:r>
          </w:p>
        </w:tc>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Sec. 3.1 Zoning and Land Use; Sec. 3.6 Building site</w:t>
            </w:r>
          </w:p>
        </w:tc>
        <w:tc>
          <w:tcPr>
            <w:tcW w:type="dxa" w:w="648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Requires a special permit in C-4, M-1, and M-2, adds a 1,000-foot setback measured from operational equipment, and adds a Chapter 245 applicability rule. The Berjano draft recommends a permit change but states no setback and no vesting rule, leaving it open to a vested-rights challenge.</w:t>
            </w:r>
          </w:p>
        </w:tc>
      </w:tr>
      <w:tr>
        <w:tc>
          <w:tcPr>
            <w:tcW w:type="dxa" w:w="17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Art. 4 Performance Standards</w:t>
            </w:r>
          </w:p>
        </w:tc>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Sec. 3.2 Environmental; Sec. 3.3 Economic; Sec. 5.4 Impact on utilities</w:t>
            </w:r>
          </w:p>
        </w:tc>
        <w:tc>
          <w:tcPr>
            <w:tcW w:type="dxa" w:w="648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Replaces named concerns with numeric limits, each tied to a consequence: IEEE 519-2022 at 5.0 percent TDD, SPCC containment at 110 percent, NFPA 30, TCEQ Standard Permit or Chapter 116, a potable water cap, and applicant-pays cost causation. The Berjano draft describes impacts but sets no limit a court can enforce.</w:t>
            </w:r>
          </w:p>
        </w:tc>
      </w:tr>
      <w:tr>
        <w:tc>
          <w:tcPr>
            <w:tcW w:type="dxa" w:w="17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Art. 5 Monitoring, Metering, Reporting</w:t>
            </w:r>
          </w:p>
        </w:tc>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Sec. 3.2 Environmental; Sec. 5.4 Impact on utilities</w:t>
            </w:r>
          </w:p>
        </w:tc>
        <w:tc>
          <w:tcPr>
            <w:tcW w:type="dxa" w:w="648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Mandates real-time interval metering of power and water, quarterly reports, annual third-party audit, and public disclosure. The Berjano draft has no measurement or verification mechanism, so its standards cannot be proven or policed.</w:t>
            </w:r>
          </w:p>
        </w:tc>
      </w:tr>
      <w:tr>
        <w:tc>
          <w:tcPr>
            <w:tcW w:type="dxa" w:w="17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Art. 6 Enforcement and Penalties</w:t>
            </w:r>
          </w:p>
        </w:tc>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Sec. 3.5 Advocacy</w:t>
            </w:r>
          </w:p>
        </w:tc>
        <w:tc>
          <w:tcPr>
            <w:tcW w:type="dxa" w:w="648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Imposes a per-day penalty schedule to the $2,000 cap in Tex. Local Gov't Code 54.001(b), civil enforcement under Chapter 54, and permit revocation. The Berjano draft relies on advocacy and voluntary cooperation, which carry no penalty and no remedy.</w:t>
            </w:r>
          </w:p>
        </w:tc>
      </w:tr>
      <w:tr>
        <w:tc>
          <w:tcPr>
            <w:tcW w:type="dxa" w:w="17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Art. 7 Decommissioning and Financial Assurance</w:t>
            </w:r>
          </w:p>
        </w:tc>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Sec. 3.4 Community Benefits Agreement; Sec. 3.6 Building site</w:t>
            </w:r>
          </w:p>
        </w:tc>
        <w:tc>
          <w:tcPr>
            <w:tcW w:type="dxa" w:w="648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Requires a PE-stamped decommissioning cost estimate, a bond for 100 percent of removal cost posted before the certificate of occupancy, triennial review, and City drawdown on abandonment. The Berjano draft has no end-of-life or bonding requirement, leaving removal cost on the public.</w:t>
            </w:r>
          </w:p>
        </w:tc>
      </w:tr>
      <w:tr>
        <w:tc>
          <w:tcPr>
            <w:tcW w:type="dxa" w:w="17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Art. 8 Severability</w:t>
            </w:r>
          </w:p>
        </w:tc>
        <w:tc>
          <w:tcPr>
            <w:tcW w:type="dxa" w:w="18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None in the Berjano draft</w:t>
            </w:r>
          </w:p>
        </w:tc>
        <w:tc>
          <w:tcPr>
            <w:tcW w:type="dxa" w:w="648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after="20" w:before="20"/>
            </w:pPr>
            <w:r>
              <w:rPr>
                <w:rFonts w:ascii="Arial" w:cs="Arial" w:eastAsia="Arial" w:hAnsi="Arial"/>
                <w:b w:val="false"/>
                <w:bCs w:val="false"/>
                <w:sz w:val="18"/>
                <w:szCs w:val="18"/>
              </w:rPr>
              <w:t xml:space="preserve">Makes the instrument litigation-resilient with severability, a conflicts rule, and an effective date. The Berjano draft is a policy framework, not an ordinance, and has none of these, so it cannot be adopted or defended as law.</w:t>
            </w:r>
          </w:p>
        </w:tc>
      </w:tr>
    </w:tbl>
    <w:p>
      <w:pPr>
        <w:spacing w:after="40" w:before="160"/>
      </w:pPr>
      <w:r>
        <w:rPr>
          <w:rFonts w:ascii="Arial" w:cs="Arial" w:eastAsia="Arial" w:hAnsi="Arial"/>
          <w:b/>
          <w:bCs/>
          <w:sz w:val="18"/>
          <w:szCs w:val="18"/>
        </w:rPr>
        <w:t xml:space="preserve">Berjano sections not converted to operative code:</w:t>
      </w:r>
    </w:p>
    <w:p>
      <w:pPr>
        <w:spacing w:after="40"/>
      </w:pPr>
      <w:r>
        <w:rPr>
          <w:rFonts w:ascii="Arial" w:cs="Arial" w:eastAsia="Arial" w:hAnsi="Arial"/>
          <w:sz w:val="18"/>
          <w:szCs w:val="18"/>
        </w:rPr>
        <w:t xml:space="preserve">Sec. 4 Community Engagement, Sec. 5 Research, and the appendices are evidentiary, not regulatory. Their factual content (water scarcity, utility load, the non-ERCOT gap) is relocated into the Findings of the ordinance to establish the rational basis a court requires. Sec. 3.5 Advocacy is dropped because advocacy is not an enforceable provision.</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10080"/>
      </w:tabs>
    </w:pPr>
    <w:r>
      <w:rPr>
        <w:rFonts w:ascii="Arial" w:cs="Arial" w:eastAsia="Arial" w:hAnsi="Arial"/>
        <w:sz w:val="16"/>
        <w:szCs w:val="16"/>
      </w:rPr>
      <w:t xml:space="preserve">Crosswalk | Celaya Solutions</w:t>
    </w:r>
    <w:r>
      <w:rPr>
        <w:rFonts w:ascii="Arial" w:cs="Arial" w:eastAsia="Arial" w:hAnsi="Arial"/>
        <w:sz w:val="16"/>
        <w:szCs w:val="16"/>
      </w:rPr>
      <w:t xml:space="preserve">	Page </w:t>
    </w:r>
    <w:r>
      <w:rPr>
        <w:rFonts w:ascii="Arial" w:cs="Arial" w:eastAsia="Arial" w:hAnsi="Arial"/>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 Celaya Ordinance to Berjano Framework</dc:title>
  <dc:creator>Christopher Celaya, Celaya Solutions</dc:creator>
  <cp:lastModifiedBy>Un-named</cp:lastModifiedBy>
  <cp:revision>1</cp:revision>
  <dcterms:created xsi:type="dcterms:W3CDTF">2026-06-06T23:12:34.828Z</dcterms:created>
  <dcterms:modified xsi:type="dcterms:W3CDTF">2026-06-06T23:12:34.829Z</dcterms:modified>
</cp:coreProperties>
</file>

<file path=docProps/custom.xml><?xml version="1.0" encoding="utf-8"?>
<Properties xmlns="http://schemas.openxmlformats.org/officeDocument/2006/custom-properties" xmlns:vt="http://schemas.openxmlformats.org/officeDocument/2006/docPropsVTypes"/>
</file>